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34A" w:rsidRDefault="00EF334A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795CE9" w:rsidRDefault="00093143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AE6953">
        <w:rPr>
          <w:rFonts w:ascii="Times New Roman" w:hAnsi="Times New Roman" w:cs="Times New Roman"/>
          <w:b/>
          <w:spacing w:val="20"/>
          <w:sz w:val="28"/>
          <w:szCs w:val="28"/>
        </w:rPr>
        <w:t>кт</w:t>
      </w:r>
    </w:p>
    <w:p w:rsidR="00795CE9" w:rsidRDefault="009B572E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 результатам  проведенной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r w:rsidR="00022220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образованием 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E6D7E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 Тбилисский район</w:t>
      </w:r>
      <w:r w:rsidR="00820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40D2B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01D1F" w:rsidRDefault="00501D1F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E9" w:rsidRDefault="00411707" w:rsidP="00972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11.03.2015 – 18.03.2015</w:t>
      </w:r>
      <w:r w:rsidRPr="00972D9A">
        <w:rPr>
          <w:rFonts w:ascii="Times New Roman" w:hAnsi="Times New Roman" w:cs="Times New Roman"/>
          <w:sz w:val="28"/>
          <w:szCs w:val="28"/>
        </w:rPr>
        <w:t xml:space="preserve"> </w:t>
      </w:r>
      <w:r w:rsidR="00972D9A" w:rsidRPr="00972D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95CE9" w:rsidRPr="00972D9A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EF334A" w:rsidRDefault="00EF334A" w:rsidP="004574C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3CCE" w:rsidRPr="00793CCE" w:rsidRDefault="004B6045" w:rsidP="004574CF">
      <w:pPr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>ст. 9  федерального закона от 7 февраля 2011  № 6-ФЗ</w:t>
      </w:r>
      <w:r w:rsidR="003C7536" w:rsidRPr="00077A34">
        <w:rPr>
          <w:rFonts w:ascii="Times New Roman" w:hAnsi="Times New Roman" w:cs="Times New Roman"/>
          <w:sz w:val="28"/>
          <w:szCs w:val="28"/>
        </w:rPr>
        <w:t>,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077A34">
        <w:rPr>
          <w:rFonts w:ascii="Times New Roman" w:hAnsi="Times New Roman" w:cs="Times New Roman"/>
          <w:sz w:val="28"/>
          <w:szCs w:val="28"/>
        </w:rPr>
        <w:t>п.1</w:t>
      </w:r>
      <w:r w:rsidR="005212E5" w:rsidRPr="00077A34">
        <w:rPr>
          <w:rFonts w:ascii="Times New Roman" w:hAnsi="Times New Roman" w:cs="Times New Roman"/>
          <w:sz w:val="28"/>
          <w:szCs w:val="28"/>
        </w:rPr>
        <w:t>.1</w:t>
      </w:r>
      <w:r w:rsidR="003C7536" w:rsidRPr="00077A34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3C7536" w:rsidRPr="00793CCE">
        <w:rPr>
          <w:rFonts w:ascii="Times New Roman" w:hAnsi="Times New Roman" w:cs="Times New Roman"/>
          <w:sz w:val="28"/>
          <w:szCs w:val="28"/>
        </w:rPr>
        <w:t>работы контрольно-счетной палаты на 201</w:t>
      </w:r>
      <w:r w:rsidR="00EF334A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Толубаевой,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r w:rsidR="00E40D2B">
        <w:rPr>
          <w:rFonts w:ascii="Times New Roman" w:hAnsi="Times New Roman" w:cs="Times New Roman"/>
          <w:sz w:val="28"/>
          <w:szCs w:val="28"/>
        </w:rPr>
        <w:t>Валентиной Михайловной Вишняковой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022220" w:rsidRPr="00022220">
        <w:rPr>
          <w:rFonts w:ascii="Times New Roman" w:hAnsi="Times New Roman" w:cs="Times New Roman"/>
          <w:sz w:val="28"/>
          <w:szCs w:val="28"/>
        </w:rPr>
        <w:t xml:space="preserve">управления образованием 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E6D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677B80">
      <w:pPr>
        <w:spacing w:after="0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396914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>1) полнота объема  годовой бюджетной отчетности  со всеми необходимыми приложениями</w:t>
      </w:r>
      <w:r w:rsidR="00417805">
        <w:rPr>
          <w:rFonts w:ascii="Times New Roman" w:hAnsi="Times New Roman" w:cs="Times New Roman"/>
          <w:sz w:val="28"/>
          <w:szCs w:val="28"/>
        </w:rPr>
        <w:t xml:space="preserve"> и формами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2)  соблюдение контрольных соотношений форм годовой бюджетной отчетности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сроков сдачи  годовой бюджетной отчетности                                          </w:t>
      </w:r>
    </w:p>
    <w:p w:rsidR="009B572E" w:rsidRPr="00795CE9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</w:p>
    <w:p w:rsidR="00795CE9" w:rsidRDefault="00795CE9" w:rsidP="00795CE9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="00022220">
        <w:rPr>
          <w:rFonts w:ascii="Times New Roman" w:hAnsi="Times New Roman" w:cs="Times New Roman"/>
          <w:bCs/>
          <w:sz w:val="28"/>
          <w:szCs w:val="28"/>
          <w:u w:val="single"/>
        </w:rPr>
        <w:t>главного распорядителя бюджетных средств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417805">
      <w:pPr>
        <w:autoSpaceDE w:val="0"/>
        <w:autoSpaceDN w:val="0"/>
        <w:adjustRightInd w:val="0"/>
        <w:spacing w:before="108" w:after="108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417805">
      <w:pPr>
        <w:autoSpaceDE w:val="0"/>
        <w:autoSpaceDN w:val="0"/>
        <w:adjustRightInd w:val="0"/>
        <w:spacing w:before="108" w:after="108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  <w:r w:rsidR="008A188B">
        <w:rPr>
          <w:rFonts w:ascii="Times New Roman" w:hAnsi="Times New Roman" w:cs="Times New Roman"/>
          <w:bCs/>
          <w:sz w:val="28"/>
          <w:szCs w:val="28"/>
        </w:rPr>
        <w:t>;</w:t>
      </w:r>
    </w:p>
    <w:p w:rsidR="008A188B" w:rsidRDefault="008A188B" w:rsidP="008A188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- И</w:t>
      </w:r>
      <w:r>
        <w:rPr>
          <w:rFonts w:ascii="Times New Roman" w:hAnsi="Times New Roman" w:cs="Times New Roman"/>
          <w:sz w:val="28"/>
          <w:szCs w:val="28"/>
        </w:rPr>
        <w:t xml:space="preserve">нструкция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191н, с изменениями и дополнениями, утв. приказом Минфина России от 19 декабря 2014 г. N 157н);  </w:t>
      </w:r>
    </w:p>
    <w:p w:rsidR="00795CE9" w:rsidRPr="00795CE9" w:rsidRDefault="008A188B" w:rsidP="008A18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- Годовой отчет </w:t>
      </w:r>
      <w:r w:rsidR="00022220" w:rsidRPr="00022220">
        <w:rPr>
          <w:rFonts w:ascii="Times New Roman" w:hAnsi="Times New Roman" w:cs="Times New Roman"/>
          <w:sz w:val="28"/>
          <w:szCs w:val="28"/>
        </w:rPr>
        <w:t xml:space="preserve">управления образованием 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администрации МО Тбилисский район </w:t>
      </w:r>
      <w:r w:rsidR="00717828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5CE9">
        <w:rPr>
          <w:rFonts w:ascii="Times New Roman" w:hAnsi="Times New Roman" w:cs="Times New Roman"/>
          <w:sz w:val="28"/>
          <w:szCs w:val="28"/>
        </w:rPr>
        <w:t>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год; </w:t>
      </w:r>
    </w:p>
    <w:p w:rsidR="00BB368F" w:rsidRDefault="00795CE9" w:rsidP="00CF54D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- Главные книги казенных учреждений </w:t>
      </w:r>
      <w:r w:rsidR="00022220" w:rsidRPr="00022220">
        <w:rPr>
          <w:rFonts w:ascii="Times New Roman" w:hAnsi="Times New Roman" w:cs="Times New Roman"/>
          <w:sz w:val="28"/>
          <w:szCs w:val="28"/>
        </w:rPr>
        <w:t xml:space="preserve">управления образованием </w:t>
      </w:r>
      <w:r w:rsidR="00677B80" w:rsidRPr="00677B80">
        <w:rPr>
          <w:rFonts w:ascii="Times New Roman" w:hAnsi="Times New Roman" w:cs="Times New Roman"/>
          <w:sz w:val="28"/>
          <w:szCs w:val="28"/>
        </w:rPr>
        <w:t>администрации МО Тбилисский район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за 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 w:rsidR="009647C4">
        <w:rPr>
          <w:rFonts w:ascii="Times New Roman" w:hAnsi="Times New Roman" w:cs="Times New Roman"/>
          <w:sz w:val="28"/>
          <w:szCs w:val="28"/>
        </w:rPr>
        <w:t>.</w:t>
      </w:r>
    </w:p>
    <w:p w:rsidR="00C65FB7" w:rsidRDefault="00C65FB7" w:rsidP="0002222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95CE9" w:rsidRDefault="009647C4" w:rsidP="0002222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795CE9" w:rsidRDefault="00022220" w:rsidP="006F6053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022220">
        <w:rPr>
          <w:rFonts w:ascii="Times New Roman" w:hAnsi="Times New Roman" w:cs="Times New Roman"/>
          <w:sz w:val="28"/>
          <w:szCs w:val="28"/>
        </w:rPr>
        <w:t xml:space="preserve">правления образованием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77B80" w:rsidRPr="00677B80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МО Тбилисский район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677B80" w:rsidRPr="00677B80">
        <w:rPr>
          <w:rFonts w:ascii="Times New Roman" w:hAnsi="Times New Roman" w:cs="Times New Roman"/>
          <w:sz w:val="28"/>
          <w:szCs w:val="28"/>
        </w:rPr>
        <w:t>передал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77B80">
        <w:rPr>
          <w:rFonts w:ascii="Times New Roman" w:hAnsi="Times New Roman" w:cs="Times New Roman"/>
          <w:sz w:val="28"/>
          <w:szCs w:val="28"/>
        </w:rPr>
        <w:t xml:space="preserve"> на договорной основе 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ведение бухгалтерского учета подведомственных учреждений МКУ «</w:t>
      </w:r>
      <w:r w:rsidR="00671278">
        <w:rPr>
          <w:rFonts w:ascii="Times New Roman" w:hAnsi="Times New Roman" w:cs="Times New Roman"/>
          <w:sz w:val="28"/>
          <w:szCs w:val="28"/>
        </w:rPr>
        <w:t>Централизованная бухгалтерия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501D1F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6BE5">
        <w:rPr>
          <w:rFonts w:ascii="Times New Roman" w:hAnsi="Times New Roman" w:cs="Times New Roman"/>
          <w:sz w:val="28"/>
          <w:szCs w:val="28"/>
        </w:rPr>
        <w:t>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77B80">
        <w:rPr>
          <w:rFonts w:ascii="Times New Roman" w:hAnsi="Times New Roman" w:cs="Times New Roman"/>
          <w:sz w:val="28"/>
          <w:szCs w:val="28"/>
        </w:rPr>
        <w:t>». МКУ «Ц</w:t>
      </w:r>
      <w:r w:rsidR="00671278">
        <w:rPr>
          <w:rFonts w:ascii="Times New Roman" w:hAnsi="Times New Roman" w:cs="Times New Roman"/>
          <w:sz w:val="28"/>
          <w:szCs w:val="28"/>
        </w:rPr>
        <w:t>ентрализованная бухгалтерия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501D1F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="00677B80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677B8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77B80">
        <w:rPr>
          <w:rFonts w:ascii="Times New Roman" w:hAnsi="Times New Roman" w:cs="Times New Roman"/>
          <w:sz w:val="28"/>
          <w:szCs w:val="28"/>
        </w:rPr>
        <w:t xml:space="preserve">» </w:t>
      </w:r>
      <w:r w:rsidR="00795CE9" w:rsidRPr="00677B80">
        <w:rPr>
          <w:rFonts w:ascii="Times New Roman" w:hAnsi="Times New Roman" w:cs="Times New Roman"/>
          <w:sz w:val="28"/>
          <w:szCs w:val="28"/>
        </w:rPr>
        <w:t xml:space="preserve">формирует сводный отчет </w:t>
      </w:r>
      <w:r w:rsidR="009647C4" w:rsidRPr="00677B80">
        <w:rPr>
          <w:rFonts w:ascii="Times New Roman" w:hAnsi="Times New Roman" w:cs="Times New Roman"/>
          <w:sz w:val="28"/>
          <w:szCs w:val="28"/>
        </w:rPr>
        <w:t>казен</w:t>
      </w:r>
      <w:r w:rsidR="00795CE9" w:rsidRPr="00677B80">
        <w:rPr>
          <w:rFonts w:ascii="Times New Roman" w:hAnsi="Times New Roman" w:cs="Times New Roman"/>
          <w:sz w:val="28"/>
          <w:szCs w:val="28"/>
        </w:rPr>
        <w:t>ных</w:t>
      </w:r>
      <w:r w:rsidR="00E40D2B">
        <w:rPr>
          <w:rFonts w:ascii="Times New Roman" w:hAnsi="Times New Roman" w:cs="Times New Roman"/>
          <w:sz w:val="28"/>
          <w:szCs w:val="28"/>
        </w:rPr>
        <w:t xml:space="preserve"> </w:t>
      </w:r>
      <w:r w:rsidR="001C4F90">
        <w:rPr>
          <w:rFonts w:ascii="Times New Roman" w:hAnsi="Times New Roman" w:cs="Times New Roman"/>
          <w:sz w:val="28"/>
          <w:szCs w:val="28"/>
        </w:rPr>
        <w:t>учреждений</w:t>
      </w:r>
      <w:r w:rsidR="00B702D6">
        <w:rPr>
          <w:rFonts w:ascii="Times New Roman" w:hAnsi="Times New Roman" w:cs="Times New Roman"/>
          <w:sz w:val="28"/>
          <w:szCs w:val="28"/>
        </w:rPr>
        <w:t>:</w:t>
      </w:r>
    </w:p>
    <w:p w:rsidR="00B702D6" w:rsidRDefault="00B702D6" w:rsidP="006F6053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образованием администрации муниципального образования Тбилисский район;</w:t>
      </w:r>
    </w:p>
    <w:p w:rsidR="00B702D6" w:rsidRDefault="00B702D6" w:rsidP="006F6053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Муниципальное казенное учреждение методический центр в системе дополнительного педагогического образования;</w:t>
      </w:r>
    </w:p>
    <w:p w:rsidR="00B702D6" w:rsidRDefault="00B702D6" w:rsidP="006F6053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-Муниципальное казенное учреждение «Централизованная бухгалтерия образовательных учреждений Тбилисского района».</w:t>
      </w:r>
    </w:p>
    <w:p w:rsidR="00A71BB3" w:rsidRPr="00324538" w:rsidRDefault="00A71BB3" w:rsidP="00A71BB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84F">
        <w:rPr>
          <w:rFonts w:ascii="Times New Roman" w:hAnsi="Times New Roman" w:cs="Times New Roman"/>
          <w:sz w:val="28"/>
          <w:szCs w:val="28"/>
        </w:rPr>
        <w:t xml:space="preserve">МКУ «Централизованная бухгалтерия образовательных учреждений Тбилисского района» представила бюджетную отчетность управления образованием администрации МО Тбилисский район в финансовое управление МО Тбилисский район с нарушением установленного графиком  срока. Срок представления </w:t>
      </w:r>
      <w:r>
        <w:rPr>
          <w:rFonts w:ascii="Times New Roman" w:hAnsi="Times New Roman" w:cs="Times New Roman"/>
          <w:sz w:val="28"/>
          <w:szCs w:val="28"/>
        </w:rPr>
        <w:t>годовой бюджетной и бухгалтерской отчетности согласно графика 26.01.2015, фактически представлена для проверки 30.01.2015 года.</w:t>
      </w:r>
    </w:p>
    <w:p w:rsidR="00795CE9" w:rsidRPr="0029782C" w:rsidRDefault="00EF334A" w:rsidP="00A71B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контрольно-счетную палату г</w:t>
      </w:r>
      <w:r w:rsidR="00B94BFB" w:rsidRPr="0029782C">
        <w:rPr>
          <w:rFonts w:ascii="Times New Roman" w:hAnsi="Times New Roman" w:cs="Times New Roman"/>
          <w:sz w:val="28"/>
          <w:szCs w:val="28"/>
        </w:rPr>
        <w:t>одовой отчет</w:t>
      </w:r>
      <w:r w:rsidR="008205DF" w:rsidRPr="0029782C">
        <w:rPr>
          <w:rFonts w:ascii="Times New Roman" w:hAnsi="Times New Roman" w:cs="Times New Roman"/>
          <w:sz w:val="28"/>
          <w:szCs w:val="28"/>
        </w:rPr>
        <w:t xml:space="preserve"> </w:t>
      </w:r>
      <w:r w:rsidR="00B94BFB" w:rsidRPr="0029782C">
        <w:rPr>
          <w:rFonts w:ascii="Times New Roman" w:hAnsi="Times New Roman" w:cs="Times New Roman"/>
          <w:sz w:val="28"/>
          <w:szCs w:val="28"/>
        </w:rPr>
        <w:t>для проведения внешней проверки представлен своевременно по утвержденному графику</w:t>
      </w:r>
      <w:r w:rsidR="0029782C" w:rsidRPr="0029782C">
        <w:rPr>
          <w:rFonts w:ascii="Times New Roman" w:hAnsi="Times New Roman" w:cs="Times New Roman"/>
          <w:sz w:val="28"/>
          <w:szCs w:val="28"/>
        </w:rPr>
        <w:t>- 10.03.2015 года</w:t>
      </w:r>
      <w:r w:rsidR="005212E5" w:rsidRPr="0029782C">
        <w:rPr>
          <w:rFonts w:ascii="Times New Roman" w:hAnsi="Times New Roman" w:cs="Times New Roman"/>
          <w:sz w:val="28"/>
          <w:szCs w:val="28"/>
        </w:rPr>
        <w:t>.</w:t>
      </w:r>
    </w:p>
    <w:p w:rsidR="00EF334A" w:rsidRDefault="00EF334A" w:rsidP="00297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79"/>
    </w:p>
    <w:p w:rsidR="00C038A3" w:rsidRPr="0029782C" w:rsidRDefault="0016797A" w:rsidP="00C65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29782C">
        <w:rPr>
          <w:rFonts w:ascii="Times New Roman" w:hAnsi="Times New Roman" w:cs="Times New Roman"/>
          <w:sz w:val="28"/>
          <w:szCs w:val="28"/>
        </w:rPr>
        <w:t xml:space="preserve">Централизованной бухгалтерией </w:t>
      </w:r>
      <w:r w:rsidR="00223F22" w:rsidRPr="0029782C">
        <w:rPr>
          <w:rFonts w:ascii="Times New Roman" w:hAnsi="Times New Roman" w:cs="Times New Roman"/>
          <w:sz w:val="28"/>
          <w:szCs w:val="28"/>
        </w:rPr>
        <w:t>образовательных учреждений Тбилисского</w:t>
      </w:r>
      <w:r w:rsidR="00677B80" w:rsidRPr="0029782C">
        <w:rPr>
          <w:rFonts w:ascii="Times New Roman" w:hAnsi="Times New Roman" w:cs="Times New Roman"/>
          <w:sz w:val="28"/>
          <w:szCs w:val="28"/>
        </w:rPr>
        <w:t xml:space="preserve"> </w:t>
      </w:r>
      <w:r w:rsidR="00416BE5" w:rsidRPr="0029782C">
        <w:rPr>
          <w:rFonts w:ascii="Times New Roman" w:hAnsi="Times New Roman" w:cs="Times New Roman"/>
          <w:sz w:val="28"/>
          <w:szCs w:val="28"/>
        </w:rPr>
        <w:t>район</w:t>
      </w:r>
      <w:r w:rsidR="00223F22" w:rsidRPr="0029782C">
        <w:rPr>
          <w:rFonts w:ascii="Times New Roman" w:hAnsi="Times New Roman" w:cs="Times New Roman"/>
          <w:sz w:val="28"/>
          <w:szCs w:val="28"/>
        </w:rPr>
        <w:t>а</w:t>
      </w:r>
      <w:r w:rsidR="00416BE5" w:rsidRPr="0029782C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29782C">
        <w:rPr>
          <w:rFonts w:ascii="Times New Roman" w:hAnsi="Times New Roman" w:cs="Times New Roman"/>
          <w:sz w:val="28"/>
          <w:szCs w:val="28"/>
        </w:rPr>
        <w:t>представлены</w:t>
      </w:r>
      <w:r w:rsidR="00795CE9" w:rsidRPr="0029782C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418"/>
        <w:gridCol w:w="1276"/>
        <w:gridCol w:w="1417"/>
      </w:tblGrid>
      <w:tr w:rsidR="00307989" w:rsidTr="00307989">
        <w:tc>
          <w:tcPr>
            <w:tcW w:w="567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276" w:type="dxa"/>
          </w:tcPr>
          <w:p w:rsidR="007E2F80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485B79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485B79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8A71FF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</w:tc>
        <w:tc>
          <w:tcPr>
            <w:tcW w:w="1417" w:type="dxa"/>
          </w:tcPr>
          <w:p w:rsidR="007E2F80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307989" w:rsidTr="00307989">
        <w:tc>
          <w:tcPr>
            <w:tcW w:w="567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418" w:type="dxa"/>
          </w:tcPr>
          <w:p w:rsidR="007E2F80" w:rsidRPr="00A14085" w:rsidRDefault="008A71FF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 w:rsidR="009647C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Tr="00307989">
        <w:tc>
          <w:tcPr>
            <w:tcW w:w="567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1276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Tr="00307989">
        <w:tc>
          <w:tcPr>
            <w:tcW w:w="567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418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1276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Tr="00307989">
        <w:tc>
          <w:tcPr>
            <w:tcW w:w="567" w:type="dxa"/>
          </w:tcPr>
          <w:p w:rsidR="007E2F80" w:rsidRPr="00A14085" w:rsidRDefault="00A14085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418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1276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Tr="00307989">
        <w:tc>
          <w:tcPr>
            <w:tcW w:w="567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федерального бюджета</w:t>
            </w:r>
          </w:p>
        </w:tc>
        <w:tc>
          <w:tcPr>
            <w:tcW w:w="1418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0503324</w:t>
            </w:r>
          </w:p>
        </w:tc>
        <w:tc>
          <w:tcPr>
            <w:tcW w:w="1276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DB77F0" w:rsidRPr="00A14085" w:rsidRDefault="00485B79" w:rsidP="00485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Tr="00307989">
        <w:tc>
          <w:tcPr>
            <w:tcW w:w="567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0" w:type="dxa"/>
          </w:tcPr>
          <w:p w:rsidR="00DB77F0" w:rsidRPr="00A14085" w:rsidRDefault="00DB77F0" w:rsidP="00DB77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краевого  бюджета</w:t>
            </w:r>
          </w:p>
        </w:tc>
        <w:tc>
          <w:tcPr>
            <w:tcW w:w="1418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0503324К</w:t>
            </w:r>
          </w:p>
        </w:tc>
        <w:tc>
          <w:tcPr>
            <w:tcW w:w="1276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DB77F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Tr="00307989">
        <w:tc>
          <w:tcPr>
            <w:tcW w:w="567" w:type="dxa"/>
          </w:tcPr>
          <w:p w:rsidR="007E2F8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:rsidR="007E2F80" w:rsidRPr="00A14085" w:rsidRDefault="00A14085" w:rsidP="00A074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 бюджета</w:t>
            </w:r>
          </w:p>
        </w:tc>
        <w:tc>
          <w:tcPr>
            <w:tcW w:w="1418" w:type="dxa"/>
          </w:tcPr>
          <w:p w:rsidR="007E2F80" w:rsidRPr="00A14085" w:rsidRDefault="00A14085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</w:t>
            </w:r>
            <w:r w:rsidR="009647C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7E2F80" w:rsidRPr="00A14085" w:rsidRDefault="00A0742A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Tr="00307989">
        <w:tc>
          <w:tcPr>
            <w:tcW w:w="567" w:type="dxa"/>
          </w:tcPr>
          <w:p w:rsidR="007E2F8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70" w:type="dxa"/>
          </w:tcPr>
          <w:p w:rsidR="007E2F80" w:rsidRPr="00A14085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418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1276" w:type="dxa"/>
          </w:tcPr>
          <w:p w:rsidR="007E2F8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c>
          <w:tcPr>
            <w:tcW w:w="567" w:type="dxa"/>
          </w:tcPr>
          <w:p w:rsidR="007E2F80" w:rsidRPr="006F6053" w:rsidRDefault="005D42A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70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418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1276" w:type="dxa"/>
          </w:tcPr>
          <w:p w:rsidR="007E2F80" w:rsidRPr="006F6053" w:rsidRDefault="005D42A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7E2F80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rPr>
          <w:trHeight w:val="649"/>
        </w:trPr>
        <w:tc>
          <w:tcPr>
            <w:tcW w:w="567" w:type="dxa"/>
          </w:tcPr>
          <w:p w:rsidR="007E2F80" w:rsidRPr="006F6053" w:rsidRDefault="005D42A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6F6053" w:rsidRPr="006F6053" w:rsidRDefault="00A14085" w:rsidP="00227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 w:rsidR="006F6053"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418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1276" w:type="dxa"/>
          </w:tcPr>
          <w:p w:rsidR="007E2F80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7E2F80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rPr>
          <w:trHeight w:val="368"/>
        </w:trPr>
        <w:tc>
          <w:tcPr>
            <w:tcW w:w="567" w:type="dxa"/>
          </w:tcPr>
          <w:p w:rsidR="00A0742A" w:rsidRPr="006F6053" w:rsidRDefault="00D265A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0" w:type="dxa"/>
          </w:tcPr>
          <w:p w:rsidR="00A0742A" w:rsidRPr="006F6053" w:rsidRDefault="00A0742A" w:rsidP="00A07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 подведомственных учреждениях</w:t>
            </w:r>
          </w:p>
        </w:tc>
        <w:tc>
          <w:tcPr>
            <w:tcW w:w="1418" w:type="dxa"/>
          </w:tcPr>
          <w:p w:rsidR="00A0742A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1276" w:type="dxa"/>
          </w:tcPr>
          <w:p w:rsidR="00A0742A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A0742A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c>
          <w:tcPr>
            <w:tcW w:w="567" w:type="dxa"/>
          </w:tcPr>
          <w:p w:rsidR="002B3D8B" w:rsidRDefault="00626C1E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418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1276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c>
          <w:tcPr>
            <w:tcW w:w="567" w:type="dxa"/>
          </w:tcPr>
          <w:p w:rsidR="002B3D8B" w:rsidRDefault="00626C1E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изменениях бюджетной росписи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418" w:type="dxa"/>
          </w:tcPr>
          <w:p w:rsidR="002B3D8B" w:rsidRPr="0029782C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782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0503163</w:t>
            </w:r>
          </w:p>
        </w:tc>
        <w:tc>
          <w:tcPr>
            <w:tcW w:w="1276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07989" w:rsidRPr="006F6053" w:rsidTr="00307989">
        <w:tc>
          <w:tcPr>
            <w:tcW w:w="567" w:type="dxa"/>
          </w:tcPr>
          <w:p w:rsidR="009647C4" w:rsidRPr="006F6053" w:rsidRDefault="009647C4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626C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1276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c>
          <w:tcPr>
            <w:tcW w:w="567" w:type="dxa"/>
          </w:tcPr>
          <w:p w:rsidR="009647C4" w:rsidRPr="006F6053" w:rsidRDefault="00626C1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мероприятий в рамках целевых программ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0503166</w:t>
            </w:r>
          </w:p>
        </w:tc>
        <w:tc>
          <w:tcPr>
            <w:tcW w:w="1276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rPr>
          <w:trHeight w:val="393"/>
        </w:trPr>
        <w:tc>
          <w:tcPr>
            <w:tcW w:w="567" w:type="dxa"/>
          </w:tcPr>
          <w:p w:rsidR="009647C4" w:rsidRPr="006F6053" w:rsidRDefault="00626C1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418" w:type="dxa"/>
          </w:tcPr>
          <w:p w:rsidR="009647C4" w:rsidRPr="006F6053" w:rsidRDefault="009647C4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1276" w:type="dxa"/>
          </w:tcPr>
          <w:p w:rsidR="009647C4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C44062" w:rsidRPr="006F6053" w:rsidTr="00307989">
        <w:tc>
          <w:tcPr>
            <w:tcW w:w="567" w:type="dxa"/>
          </w:tcPr>
          <w:p w:rsidR="00C44062" w:rsidRDefault="00C44062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670" w:type="dxa"/>
          </w:tcPr>
          <w:p w:rsidR="00C44062" w:rsidRPr="006F6053" w:rsidRDefault="00C44062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целевых иностранных кредитах</w:t>
            </w:r>
          </w:p>
        </w:tc>
        <w:tc>
          <w:tcPr>
            <w:tcW w:w="1418" w:type="dxa"/>
          </w:tcPr>
          <w:p w:rsidR="00C44062" w:rsidRPr="00C44062" w:rsidRDefault="00C44062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4062">
              <w:rPr>
                <w:rFonts w:ascii="Times New Roman" w:hAnsi="Times New Roman" w:cs="Times New Roman"/>
                <w:b/>
                <w:sz w:val="26"/>
                <w:szCs w:val="26"/>
              </w:rPr>
              <w:t>0503167</w:t>
            </w:r>
          </w:p>
        </w:tc>
        <w:tc>
          <w:tcPr>
            <w:tcW w:w="1276" w:type="dxa"/>
          </w:tcPr>
          <w:p w:rsidR="00C44062" w:rsidRDefault="00C44062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C44062" w:rsidRDefault="00C44062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07989" w:rsidRPr="006F6053" w:rsidTr="00307989">
        <w:tc>
          <w:tcPr>
            <w:tcW w:w="567" w:type="dxa"/>
          </w:tcPr>
          <w:p w:rsidR="009647C4" w:rsidRPr="006F6053" w:rsidRDefault="00C44062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1276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c>
          <w:tcPr>
            <w:tcW w:w="567" w:type="dxa"/>
          </w:tcPr>
          <w:p w:rsidR="009647C4" w:rsidRPr="006F6053" w:rsidRDefault="00C44062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финансовых вложениях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0503171</w:t>
            </w:r>
          </w:p>
        </w:tc>
        <w:tc>
          <w:tcPr>
            <w:tcW w:w="1276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c>
          <w:tcPr>
            <w:tcW w:w="567" w:type="dxa"/>
          </w:tcPr>
          <w:p w:rsidR="002B3D8B" w:rsidRDefault="00C44062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государственном (муниципальном) долге</w:t>
            </w:r>
          </w:p>
        </w:tc>
        <w:tc>
          <w:tcPr>
            <w:tcW w:w="1418" w:type="dxa"/>
          </w:tcPr>
          <w:p w:rsidR="002B3D8B" w:rsidRPr="00307989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7989">
              <w:rPr>
                <w:rFonts w:ascii="Times New Roman" w:hAnsi="Times New Roman" w:cs="Times New Roman"/>
                <w:b/>
                <w:sz w:val="26"/>
                <w:szCs w:val="26"/>
              </w:rPr>
              <w:t>0503172</w:t>
            </w:r>
          </w:p>
        </w:tc>
        <w:tc>
          <w:tcPr>
            <w:tcW w:w="1276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07989" w:rsidRPr="006F6053" w:rsidTr="00307989">
        <w:tc>
          <w:tcPr>
            <w:tcW w:w="567" w:type="dxa"/>
          </w:tcPr>
          <w:p w:rsidR="009647C4" w:rsidRPr="006F6053" w:rsidRDefault="00C44062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 консолидированного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пояснительная записка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1276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c>
          <w:tcPr>
            <w:tcW w:w="567" w:type="dxa"/>
          </w:tcPr>
          <w:p w:rsidR="002B3D8B" w:rsidRDefault="00C44062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1418" w:type="dxa"/>
          </w:tcPr>
          <w:p w:rsidR="002B3D8B" w:rsidRPr="0029782C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782C">
              <w:rPr>
                <w:rFonts w:ascii="Times New Roman" w:hAnsi="Times New Roman" w:cs="Times New Roman"/>
                <w:b/>
                <w:sz w:val="26"/>
                <w:szCs w:val="26"/>
              </w:rPr>
              <w:t>0503176</w:t>
            </w:r>
          </w:p>
        </w:tc>
        <w:tc>
          <w:tcPr>
            <w:tcW w:w="1276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07989" w:rsidRPr="006F6053" w:rsidTr="00307989">
        <w:tc>
          <w:tcPr>
            <w:tcW w:w="567" w:type="dxa"/>
          </w:tcPr>
          <w:p w:rsidR="009647C4" w:rsidRPr="006F6053" w:rsidRDefault="00C44062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1276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07989" w:rsidRPr="006F6053" w:rsidTr="00307989">
        <w:tc>
          <w:tcPr>
            <w:tcW w:w="567" w:type="dxa"/>
          </w:tcPr>
          <w:p w:rsidR="002B3D8B" w:rsidRDefault="00C44062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остатках денежных средств на счетах получателя</w:t>
            </w:r>
            <w:r w:rsidR="00626C1E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средств</w:t>
            </w:r>
          </w:p>
        </w:tc>
        <w:tc>
          <w:tcPr>
            <w:tcW w:w="1418" w:type="dxa"/>
          </w:tcPr>
          <w:p w:rsidR="002B3D8B" w:rsidRPr="0029782C" w:rsidRDefault="00626C1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782C">
              <w:rPr>
                <w:rFonts w:ascii="Times New Roman" w:hAnsi="Times New Roman" w:cs="Times New Roman"/>
                <w:b/>
                <w:sz w:val="26"/>
                <w:szCs w:val="26"/>
              </w:rPr>
              <w:t>0503178</w:t>
            </w:r>
          </w:p>
        </w:tc>
        <w:tc>
          <w:tcPr>
            <w:tcW w:w="1276" w:type="dxa"/>
          </w:tcPr>
          <w:p w:rsidR="002B3D8B" w:rsidRDefault="00626C1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2B3D8B" w:rsidRDefault="00626C1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07989" w:rsidRPr="006F6053" w:rsidTr="00307989">
        <w:tc>
          <w:tcPr>
            <w:tcW w:w="567" w:type="dxa"/>
          </w:tcPr>
          <w:p w:rsidR="009647C4" w:rsidRPr="006F6053" w:rsidRDefault="00B97F41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4406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Расшифровки к формам годовой бюджетной отчетности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417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</w:tbl>
    <w:p w:rsidR="00307989" w:rsidRDefault="00307989" w:rsidP="003079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80"/>
      <w:bookmarkEnd w:id="0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07989" w:rsidRDefault="00307989" w:rsidP="0030798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причине отсутствия числовых значений показателей, в соответствии с п. 8 Инструкции 191н,  в состав бюджетной отчетности  не вошли следующие формы: </w:t>
      </w:r>
    </w:p>
    <w:p w:rsidR="00C44062" w:rsidRDefault="00C44062" w:rsidP="00C4406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целевых иностранных кредитах (ф.0503167); </w:t>
      </w:r>
    </w:p>
    <w:p w:rsidR="00307989" w:rsidRPr="00307989" w:rsidRDefault="00C44062" w:rsidP="00C440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07989" w:rsidRPr="003079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989" w:rsidRPr="00307989">
        <w:rPr>
          <w:rFonts w:ascii="Times New Roman" w:hAnsi="Times New Roman" w:cs="Times New Roman"/>
          <w:sz w:val="28"/>
          <w:szCs w:val="28"/>
        </w:rPr>
        <w:t>Сведения</w:t>
      </w:r>
      <w:r w:rsidR="00307989" w:rsidRPr="00307989">
        <w:rPr>
          <w:rFonts w:ascii="Times New Roman" w:hAnsi="Times New Roman" w:cs="Times New Roman"/>
          <w:sz w:val="26"/>
          <w:szCs w:val="26"/>
        </w:rPr>
        <w:t xml:space="preserve"> </w:t>
      </w:r>
      <w:r w:rsidR="00307989">
        <w:rPr>
          <w:rFonts w:ascii="Times New Roman" w:hAnsi="Times New Roman" w:cs="Times New Roman"/>
          <w:sz w:val="26"/>
          <w:szCs w:val="26"/>
        </w:rPr>
        <w:t>государственном (муниципальном) долге</w:t>
      </w:r>
      <w:r w:rsidR="00307989" w:rsidRPr="00307989">
        <w:rPr>
          <w:rFonts w:ascii="Times New Roman" w:hAnsi="Times New Roman" w:cs="Times New Roman"/>
          <w:sz w:val="28"/>
          <w:szCs w:val="28"/>
        </w:rPr>
        <w:t xml:space="preserve"> </w:t>
      </w:r>
      <w:r w:rsidR="00307989">
        <w:rPr>
          <w:rFonts w:ascii="Times New Roman" w:hAnsi="Times New Roman" w:cs="Times New Roman"/>
          <w:sz w:val="28"/>
          <w:szCs w:val="28"/>
        </w:rPr>
        <w:t>(ф.0503172</w:t>
      </w:r>
      <w:r w:rsidR="00307989" w:rsidRPr="00307989">
        <w:rPr>
          <w:rFonts w:ascii="Times New Roman" w:hAnsi="Times New Roman" w:cs="Times New Roman"/>
          <w:sz w:val="28"/>
          <w:szCs w:val="28"/>
        </w:rPr>
        <w:t>);</w:t>
      </w:r>
    </w:p>
    <w:p w:rsidR="00307989" w:rsidRDefault="00307989" w:rsidP="0030798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4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 о недостачах и хищениях денежных средств и материальных ценностей (ф.0503176);</w:t>
      </w:r>
    </w:p>
    <w:p w:rsidR="00A16D78" w:rsidRDefault="00307989" w:rsidP="00A16D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остатках денежных средств на счетах получателя бюджетных средств (ф.0503178).</w:t>
      </w:r>
    </w:p>
    <w:p w:rsidR="003C4569" w:rsidRDefault="00A16D78" w:rsidP="003C45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7 Инструкции 191н, перед составлением годовой бюджетной отчетности должна быть проведена инвентаризация активов и обязательств.</w:t>
      </w:r>
      <w:r w:rsidRPr="003F21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 приказа Управления образованием администрации муниципального образования Тбилисский район от 31.10.2014 г. № 603 </w:t>
      </w:r>
      <w:r w:rsidR="003C4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годовая инвентаризация матери</w:t>
      </w:r>
      <w:r w:rsidR="003C4569">
        <w:rPr>
          <w:rFonts w:ascii="Times New Roman" w:hAnsi="Times New Roman" w:cs="Times New Roman"/>
          <w:sz w:val="28"/>
          <w:szCs w:val="28"/>
        </w:rPr>
        <w:t>алов</w:t>
      </w:r>
      <w:r>
        <w:rPr>
          <w:rFonts w:ascii="Times New Roman" w:hAnsi="Times New Roman" w:cs="Times New Roman"/>
          <w:sz w:val="28"/>
          <w:szCs w:val="28"/>
        </w:rPr>
        <w:t>, инвентаря, расчетов</w:t>
      </w:r>
      <w:r w:rsidR="003C4569" w:rsidRPr="003C4569">
        <w:rPr>
          <w:rFonts w:ascii="Times New Roman" w:hAnsi="Times New Roman" w:cs="Times New Roman"/>
          <w:sz w:val="28"/>
          <w:szCs w:val="28"/>
        </w:rPr>
        <w:t xml:space="preserve"> </w:t>
      </w:r>
      <w:r w:rsidR="003C4569">
        <w:rPr>
          <w:rFonts w:ascii="Times New Roman" w:hAnsi="Times New Roman" w:cs="Times New Roman"/>
          <w:sz w:val="28"/>
          <w:szCs w:val="28"/>
        </w:rPr>
        <w:t>состоянию на 01.11.2014 года</w:t>
      </w:r>
      <w:r>
        <w:rPr>
          <w:rFonts w:ascii="Times New Roman" w:hAnsi="Times New Roman" w:cs="Times New Roman"/>
          <w:sz w:val="28"/>
          <w:szCs w:val="28"/>
        </w:rPr>
        <w:t>. По данным пояснительной записки формы 0503160, таблица № 6, при проведении годовой инвентаризации  материальных ценностей,  расхождений с данными бухгалтерского учета не установлено</w:t>
      </w:r>
      <w:r w:rsidR="003C4569">
        <w:rPr>
          <w:rFonts w:ascii="Times New Roman" w:hAnsi="Times New Roman" w:cs="Times New Roman"/>
          <w:sz w:val="28"/>
          <w:szCs w:val="28"/>
        </w:rPr>
        <w:t>.</w:t>
      </w:r>
    </w:p>
    <w:p w:rsidR="0071484F" w:rsidRDefault="00A16D78" w:rsidP="003C45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456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End w:id="1"/>
      <w:r w:rsidR="00795CE9" w:rsidRPr="003C4569">
        <w:rPr>
          <w:rFonts w:ascii="Times New Roman" w:hAnsi="Times New Roman" w:cs="Times New Roman"/>
          <w:sz w:val="28"/>
          <w:szCs w:val="28"/>
        </w:rPr>
        <w:t xml:space="preserve">Все формы </w:t>
      </w:r>
      <w:r w:rsidR="0059576C" w:rsidRPr="003C4569">
        <w:rPr>
          <w:rFonts w:ascii="Times New Roman" w:hAnsi="Times New Roman" w:cs="Times New Roman"/>
          <w:sz w:val="28"/>
          <w:szCs w:val="28"/>
        </w:rPr>
        <w:t xml:space="preserve">годовой отчетности  </w:t>
      </w:r>
      <w:r w:rsidR="00707122" w:rsidRPr="003C4569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3C4569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инструкции №191н,</w:t>
      </w:r>
      <w:r w:rsidR="00795CE9" w:rsidRPr="00595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3F22" w:rsidRPr="00324538">
        <w:rPr>
          <w:rFonts w:ascii="Times New Roman" w:hAnsi="Times New Roman" w:cs="Times New Roman"/>
          <w:sz w:val="28"/>
          <w:szCs w:val="28"/>
        </w:rPr>
        <w:t xml:space="preserve">подписаны руководителем </w:t>
      </w:r>
      <w:r w:rsidR="00223F22">
        <w:rPr>
          <w:rFonts w:ascii="Times New Roman" w:hAnsi="Times New Roman" w:cs="Times New Roman"/>
          <w:sz w:val="28"/>
          <w:szCs w:val="28"/>
        </w:rPr>
        <w:t xml:space="preserve">управления образованием, руководителем </w:t>
      </w:r>
      <w:r w:rsidR="00223F22" w:rsidRPr="00324538">
        <w:rPr>
          <w:rFonts w:ascii="Times New Roman" w:hAnsi="Times New Roman" w:cs="Times New Roman"/>
          <w:sz w:val="28"/>
          <w:szCs w:val="28"/>
        </w:rPr>
        <w:t xml:space="preserve">МКУ «ЦБ </w:t>
      </w:r>
      <w:r w:rsidR="00501D1F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="00223F22" w:rsidRPr="00324538">
        <w:rPr>
          <w:rFonts w:ascii="Times New Roman" w:hAnsi="Times New Roman" w:cs="Times New Roman"/>
          <w:sz w:val="28"/>
          <w:szCs w:val="28"/>
        </w:rPr>
        <w:t xml:space="preserve"> Тбилисский район» и главным бухгалтером</w:t>
      </w:r>
      <w:r w:rsidR="007148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049" w:rsidRDefault="0028310C" w:rsidP="00223F22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сводным данным п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роведена сверка показателей баланса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B031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сводом по главной книге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</w:p>
    <w:p w:rsidR="009647C4" w:rsidRPr="00264B82" w:rsidRDefault="00634C66" w:rsidP="00634C66">
      <w:pPr>
        <w:suppressAutoHyphens/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64B8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Руб.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1467"/>
        <w:gridCol w:w="1368"/>
        <w:gridCol w:w="1417"/>
        <w:gridCol w:w="1276"/>
        <w:gridCol w:w="992"/>
        <w:gridCol w:w="1134"/>
        <w:gridCol w:w="1276"/>
      </w:tblGrid>
      <w:tr w:rsidR="00A64EDE" w:rsidRPr="009647C4" w:rsidTr="00C65FB7">
        <w:tc>
          <w:tcPr>
            <w:tcW w:w="392" w:type="dxa"/>
            <w:vMerge w:val="restart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№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п/п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Номер 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счета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По данным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баланса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По данным 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Главной книги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Расхождение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Данных - , +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Причины </w:t>
            </w:r>
          </w:p>
          <w:p w:rsidR="009647C4" w:rsidRPr="00C65FB7" w:rsidRDefault="006E557E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</w:t>
            </w:r>
            <w:r w:rsidR="009647C4"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асхож-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дений</w:t>
            </w:r>
          </w:p>
        </w:tc>
      </w:tr>
      <w:tr w:rsidR="00A64EDE" w:rsidRPr="009647C4" w:rsidTr="00C65FB7">
        <w:tc>
          <w:tcPr>
            <w:tcW w:w="392" w:type="dxa"/>
            <w:vMerge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67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368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417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992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134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6" w:type="dxa"/>
            <w:vMerge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A64EDE" w:rsidRPr="009647C4" w:rsidTr="00C65FB7">
        <w:trPr>
          <w:trHeight w:val="397"/>
        </w:trPr>
        <w:tc>
          <w:tcPr>
            <w:tcW w:w="392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467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368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9647C4" w:rsidRPr="00C65FB7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9</w:t>
            </w:r>
          </w:p>
        </w:tc>
      </w:tr>
      <w:tr w:rsidR="00A64EDE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010100000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2701907,62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2840286,15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CE70BE" w:rsidP="00A61C89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2701907,62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CE70BE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2840286,15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A64EDE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-</w:t>
            </w:r>
          </w:p>
        </w:tc>
      </w:tr>
      <w:tr w:rsidR="00A64EDE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010400000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2559956,38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2788473,73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CE70BE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2559956,38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CE70BE" w:rsidP="00A64EDE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2788473,73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A64EDE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EA163E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010300000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B97F41" w:rsidP="0028310C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0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B97F41" w:rsidP="00F9416B">
            <w:pPr>
              <w:ind w:right="-148"/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A64EDE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A64EDE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A64EDE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010500000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231690,78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419049,17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343428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231690,78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343428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419049,17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A64EDE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C65FB7" w:rsidRDefault="00307989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020400000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449096415,73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633870586,25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F45C21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449096415,73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F45C21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633870586,25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A64EDE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C65FB7" w:rsidRDefault="00307989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020500000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-4250825,71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1D16B0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-744761,09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F45C21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-4250825,71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F45C21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-744761,09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A64EDE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C65FB7" w:rsidRDefault="00307989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020600000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6C1358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21473,93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6C1358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51893,47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1C6B57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21473,93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1C6B57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51893,47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301621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301621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A64EDE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C65FB7" w:rsidRDefault="00307989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030200000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6C1358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34,00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334B8D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1C6B57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34,00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1C6B57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A64EDE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C65FB7" w:rsidRDefault="00307989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030300000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6C1358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361871,72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6C1358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-14930,45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815A8B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361871,72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815A8B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-14930,45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A64EDE" w:rsidRPr="009647C4" w:rsidTr="00C65FB7">
        <w:trPr>
          <w:trHeight w:hRule="exact" w:val="1395"/>
        </w:trPr>
        <w:tc>
          <w:tcPr>
            <w:tcW w:w="392" w:type="dxa"/>
            <w:shd w:val="clear" w:color="auto" w:fill="auto"/>
          </w:tcPr>
          <w:p w:rsidR="00DD0E8B" w:rsidRPr="00C65FB7" w:rsidRDefault="00307989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DD0E8B" w:rsidP="006609AA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0401</w:t>
            </w:r>
            <w:r w:rsidR="006609AA"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3</w:t>
            </w: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0000</w:t>
            </w:r>
          </w:p>
        </w:tc>
        <w:tc>
          <w:tcPr>
            <w:tcW w:w="1467" w:type="dxa"/>
            <w:shd w:val="clear" w:color="auto" w:fill="auto"/>
          </w:tcPr>
          <w:p w:rsidR="00DD0E8B" w:rsidRPr="00C65FB7" w:rsidRDefault="00F90B6F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444878800,25</w:t>
            </w:r>
          </w:p>
        </w:tc>
        <w:tc>
          <w:tcPr>
            <w:tcW w:w="1368" w:type="dxa"/>
            <w:shd w:val="clear" w:color="auto" w:fill="auto"/>
          </w:tcPr>
          <w:p w:rsidR="00DD0E8B" w:rsidRPr="00C65FB7" w:rsidRDefault="00F90B6F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633663510,67</w:t>
            </w:r>
          </w:p>
        </w:tc>
        <w:tc>
          <w:tcPr>
            <w:tcW w:w="1417" w:type="dxa"/>
            <w:shd w:val="clear" w:color="auto" w:fill="auto"/>
          </w:tcPr>
          <w:p w:rsidR="00DD0E8B" w:rsidRPr="00C65FB7" w:rsidRDefault="002F7926" w:rsidP="00D24C7D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444959870,62</w:t>
            </w:r>
          </w:p>
        </w:tc>
        <w:tc>
          <w:tcPr>
            <w:tcW w:w="1276" w:type="dxa"/>
            <w:shd w:val="clear" w:color="auto" w:fill="auto"/>
          </w:tcPr>
          <w:p w:rsidR="00DD0E8B" w:rsidRPr="00C65FB7" w:rsidRDefault="002F7926" w:rsidP="008123F8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633663510,67</w:t>
            </w:r>
          </w:p>
        </w:tc>
        <w:tc>
          <w:tcPr>
            <w:tcW w:w="992" w:type="dxa"/>
            <w:shd w:val="clear" w:color="auto" w:fill="auto"/>
          </w:tcPr>
          <w:p w:rsidR="00DD0E8B" w:rsidRPr="00C65FB7" w:rsidRDefault="002F7926" w:rsidP="008123F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81070,37</w:t>
            </w:r>
          </w:p>
        </w:tc>
        <w:tc>
          <w:tcPr>
            <w:tcW w:w="1134" w:type="dxa"/>
            <w:shd w:val="clear" w:color="auto" w:fill="auto"/>
          </w:tcPr>
          <w:p w:rsidR="00DD0E8B" w:rsidRPr="00C65FB7" w:rsidRDefault="00F02E73" w:rsidP="002F7926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5FB7" w:rsidRDefault="00F02E7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Не отражены по</w:t>
            </w:r>
            <w:r w:rsidR="005F0396" w:rsidRPr="00C65FB7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казатели </w:t>
            </w:r>
          </w:p>
          <w:p w:rsidR="00C65FB7" w:rsidRDefault="005F039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расходов </w:t>
            </w:r>
          </w:p>
          <w:p w:rsidR="00C65FB7" w:rsidRDefault="005F039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будущих </w:t>
            </w:r>
          </w:p>
          <w:p w:rsidR="00DD0E8B" w:rsidRPr="00C65FB7" w:rsidRDefault="005F039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периодов</w:t>
            </w:r>
          </w:p>
        </w:tc>
      </w:tr>
      <w:tr w:rsidR="006609AA" w:rsidRPr="009647C4" w:rsidTr="00C65FB7">
        <w:trPr>
          <w:trHeight w:hRule="exact" w:val="397"/>
        </w:trPr>
        <w:tc>
          <w:tcPr>
            <w:tcW w:w="392" w:type="dxa"/>
            <w:shd w:val="clear" w:color="auto" w:fill="auto"/>
          </w:tcPr>
          <w:p w:rsidR="006609AA" w:rsidRPr="00C65FB7" w:rsidRDefault="00307989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6609AA" w:rsidRPr="00C65FB7" w:rsidRDefault="006609AA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C65FB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040150000</w:t>
            </w:r>
          </w:p>
        </w:tc>
        <w:tc>
          <w:tcPr>
            <w:tcW w:w="1467" w:type="dxa"/>
            <w:shd w:val="clear" w:color="auto" w:fill="auto"/>
          </w:tcPr>
          <w:p w:rsidR="006609AA" w:rsidRPr="00C65FB7" w:rsidRDefault="006609AA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0</w:t>
            </w:r>
          </w:p>
        </w:tc>
        <w:tc>
          <w:tcPr>
            <w:tcW w:w="1368" w:type="dxa"/>
            <w:shd w:val="clear" w:color="auto" w:fill="auto"/>
          </w:tcPr>
          <w:p w:rsidR="006609AA" w:rsidRPr="00C65FB7" w:rsidRDefault="006609AA" w:rsidP="00383B54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609AA" w:rsidRPr="00C65FB7" w:rsidRDefault="002F7926" w:rsidP="00D24C7D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81070,37</w:t>
            </w:r>
          </w:p>
        </w:tc>
        <w:tc>
          <w:tcPr>
            <w:tcW w:w="1276" w:type="dxa"/>
            <w:shd w:val="clear" w:color="auto" w:fill="auto"/>
          </w:tcPr>
          <w:p w:rsidR="006609AA" w:rsidRPr="00C65FB7" w:rsidRDefault="002F7926" w:rsidP="00D24C7D">
            <w:pPr>
              <w:rPr>
                <w:sz w:val="18"/>
                <w:szCs w:val="18"/>
              </w:rPr>
            </w:pPr>
            <w:r w:rsidRPr="00C65FB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609AA" w:rsidRPr="00C65FB7" w:rsidRDefault="002F7926" w:rsidP="008123F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>81070,37</w:t>
            </w:r>
          </w:p>
        </w:tc>
        <w:tc>
          <w:tcPr>
            <w:tcW w:w="1134" w:type="dxa"/>
            <w:shd w:val="clear" w:color="auto" w:fill="auto"/>
          </w:tcPr>
          <w:p w:rsidR="006609AA" w:rsidRPr="00C65FB7" w:rsidRDefault="002F7926" w:rsidP="008123F8">
            <w:pPr>
              <w:spacing w:after="0" w:line="360" w:lineRule="auto"/>
              <w:ind w:hanging="99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5FB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0</w:t>
            </w:r>
          </w:p>
        </w:tc>
        <w:tc>
          <w:tcPr>
            <w:tcW w:w="1276" w:type="dxa"/>
            <w:shd w:val="clear" w:color="auto" w:fill="auto"/>
          </w:tcPr>
          <w:p w:rsidR="006609AA" w:rsidRPr="00C65FB7" w:rsidRDefault="006609AA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</w:tbl>
    <w:p w:rsidR="009647C4" w:rsidRPr="00AB4612" w:rsidRDefault="00B90AE2" w:rsidP="00DA584A">
      <w:pPr>
        <w:suppressAutoHyphens/>
        <w:spacing w:before="240"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установлено, что баланс составлен на основании данных главной книги, что соответствует требованиям Инструкции № 191н</w:t>
      </w:r>
      <w:r w:rsidR="008123F8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за исключением счетов, отражающих финансовый результат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123F8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балансе не отражены показатели рас</w:t>
      </w:r>
      <w:r w:rsidR="00501D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ходов будущих периодов МКУ «ЦБ образовательных учреждений</w:t>
      </w:r>
      <w:r w:rsidR="008123F8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Тбил</w:t>
      </w:r>
      <w:r w:rsidR="00183B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</w:t>
      </w:r>
      <w:r w:rsidR="004865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сского района» на начало периода 2014</w:t>
      </w:r>
      <w:r w:rsidR="008123F8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года, отраженные по главно</w:t>
      </w:r>
      <w:r w:rsidR="00501D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й книге. </w:t>
      </w:r>
    </w:p>
    <w:p w:rsidR="00E95618" w:rsidRPr="00A65D67" w:rsidRDefault="009647C4" w:rsidP="000F4EFC">
      <w:pPr>
        <w:suppressAutoHyphens/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77A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ab/>
      </w:r>
      <w:r w:rsidR="00E95618" w:rsidRPr="00A65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="00E95618" w:rsidRPr="00A65D67">
        <w:rPr>
          <w:rFonts w:ascii="Times New Roman" w:hAnsi="Times New Roman" w:cs="Times New Roman"/>
          <w:bCs/>
          <w:sz w:val="28"/>
          <w:szCs w:val="28"/>
        </w:rPr>
        <w:t xml:space="preserve">онтрольных соотношений между показателями форм бюджетной отчетности </w:t>
      </w:r>
      <w:r w:rsidR="00B97F41" w:rsidRPr="00A65D67">
        <w:rPr>
          <w:rFonts w:ascii="Times New Roman" w:hAnsi="Times New Roman" w:cs="Times New Roman"/>
          <w:bCs/>
          <w:sz w:val="28"/>
          <w:szCs w:val="28"/>
        </w:rPr>
        <w:t>управления образованием</w:t>
      </w:r>
      <w:r w:rsidR="008205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47E3" w:rsidRPr="00A65D67">
        <w:rPr>
          <w:rFonts w:ascii="Times New Roman" w:hAnsi="Times New Roman" w:cs="Times New Roman"/>
          <w:sz w:val="28"/>
          <w:szCs w:val="28"/>
        </w:rPr>
        <w:t>администрации МО Тбилисский</w:t>
      </w:r>
      <w:r w:rsidR="00EA163E" w:rsidRPr="00A65D6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E95618" w:rsidRPr="00A65D67">
        <w:rPr>
          <w:rFonts w:ascii="Times New Roman" w:hAnsi="Times New Roman" w:cs="Times New Roman"/>
          <w:bCs/>
          <w:sz w:val="28"/>
          <w:szCs w:val="28"/>
        </w:rPr>
        <w:t>отражена в приложении 1.</w:t>
      </w:r>
    </w:p>
    <w:p w:rsidR="00E95618" w:rsidRPr="005F0396" w:rsidRDefault="00E95618" w:rsidP="00DD0E8B">
      <w:pPr>
        <w:suppressAutoHyphens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65D67">
        <w:rPr>
          <w:rFonts w:ascii="Times New Roman" w:hAnsi="Times New Roman" w:cs="Times New Roman"/>
          <w:bCs/>
          <w:sz w:val="28"/>
          <w:szCs w:val="28"/>
        </w:rPr>
        <w:tab/>
      </w:r>
      <w:r w:rsidRPr="005F039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расхождений между отчетными формами по контрольным соотношениям не установлено.</w:t>
      </w:r>
    </w:p>
    <w:p w:rsidR="00A65D67" w:rsidRPr="00AB4564" w:rsidRDefault="002D7B12" w:rsidP="00A65D67">
      <w:pPr>
        <w:suppressAutoHyphens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A65D67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Из представленной формы 0503130 «Баланс учреждения» установлено, ч</w:t>
      </w:r>
      <w:r w:rsidR="004865D1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то валюта баланса в течение 2014</w:t>
      </w:r>
      <w:r w:rsidR="00A65D67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увеличилась на </w:t>
      </w:r>
      <w:r w:rsidR="00AB4564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188407874,25</w:t>
      </w:r>
      <w:r w:rsidR="00501D1F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65D67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рублей. </w:t>
      </w:r>
    </w:p>
    <w:p w:rsidR="00A65D67" w:rsidRPr="00AB4564" w:rsidRDefault="00A65D67" w:rsidP="00A65D67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Увеличение в активе валюты баланса произошло за счет:</w:t>
      </w:r>
    </w:p>
    <w:p w:rsidR="00A65D67" w:rsidRPr="00AB4564" w:rsidRDefault="00A65D67" w:rsidP="00A65D67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- </w:t>
      </w:r>
      <w:r w:rsidR="000E36F0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увеличения</w:t>
      </w: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нефинансовых активов – на сумму </w:t>
      </w:r>
      <w:r w:rsidR="004E79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97219,57</w:t>
      </w:r>
      <w:r w:rsidR="00501D1F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рублей</w:t>
      </w:r>
      <w:r w:rsidR="00501D1F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0E36F0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приобретение основных средств и материалов</w:t>
      </w: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);</w:t>
      </w:r>
    </w:p>
    <w:p w:rsidR="00A65D67" w:rsidRPr="00AB4564" w:rsidRDefault="00A65D67" w:rsidP="00A65D67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увеличения финансовых активов – на сумму </w:t>
      </w:r>
      <w:r w:rsidR="00AB4564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184774170,52</w:t>
      </w: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 (финансовые вложения</w:t>
      </w:r>
      <w:r w:rsidR="000E36F0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рамках участия в капитале</w:t>
      </w: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A65D67" w:rsidRDefault="00A65D67" w:rsidP="00A65D67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Увеличение в пассиве валюты баланса произошло за счет:</w:t>
      </w:r>
    </w:p>
    <w:p w:rsidR="00A65D67" w:rsidRDefault="00A65D67" w:rsidP="00A65D67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финансового результата – на сумму </w:t>
      </w:r>
      <w:r w:rsid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188784710,42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 (расходы на выполнение текстовых статей бюджета района).</w:t>
      </w:r>
    </w:p>
    <w:p w:rsidR="00A65D67" w:rsidRDefault="00A65D67" w:rsidP="00A65D67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Изменен</w:t>
      </w:r>
      <w:r w:rsidR="004E79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ие валюты баланса в течение 2014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соответствует показателям формы 0503121 «Отчет о результатах деятельности» и формы 0503168 «Движен</w:t>
      </w:r>
      <w:r w:rsidR="002D51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ие нефинансовых активов» за 2014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год.</w:t>
      </w:r>
    </w:p>
    <w:p w:rsidR="00A65D67" w:rsidRDefault="002D51E0" w:rsidP="00A65D67">
      <w:pPr>
        <w:suppressAutoHyphens/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состоянию на 31.12.2014</w:t>
      </w:r>
      <w:r w:rsidR="00A65D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на счете 106.00 «</w:t>
      </w:r>
      <w:r w:rsidR="00A65D67" w:rsidRPr="00A0544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Объекты незавершенного строительства</w:t>
      </w:r>
      <w:r w:rsidR="00A65D67">
        <w:rPr>
          <w:rFonts w:ascii="Times New Roman" w:eastAsia="Times New Roman" w:hAnsi="Times New Roman" w:cs="Times New Roman"/>
          <w:sz w:val="28"/>
          <w:szCs w:val="28"/>
          <w:lang w:eastAsia="ar-SA"/>
        </w:rPr>
        <w:t>» остаток отсутствует.</w:t>
      </w:r>
    </w:p>
    <w:p w:rsidR="00EF334A" w:rsidRDefault="00EF334A" w:rsidP="001541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01BAF" w:rsidRPr="0015415D" w:rsidRDefault="00A65D67" w:rsidP="001541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F668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составе </w:t>
      </w:r>
      <w:r w:rsidRPr="000835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дебиторской</w:t>
      </w:r>
      <w:r w:rsidR="00BB38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668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задолженности по балансовому счету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20600 «</w:t>
      </w:r>
      <w:r w:rsidRPr="00F66876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 выданным авансам</w:t>
      </w:r>
      <w:r w:rsidR="008640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остаток на 31.12.2014 г. составил 51893,47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86401F">
        <w:rPr>
          <w:rFonts w:ascii="Times New Roman" w:eastAsia="Times New Roman" w:hAnsi="Times New Roman" w:cs="Times New Roman"/>
          <w:sz w:val="28"/>
          <w:szCs w:val="28"/>
          <w:lang w:eastAsia="ar-SA"/>
        </w:rPr>
        <w:t>. Дебиторская задолженность образовалась по контрагенту ОАО «Ростелеком» так как договором предусмотрено оплата текущего платежа в размере 100 % стоимости услуг связи предыдущего расчетного периода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услуги связи. Централизованной бухгалтерией представл</w:t>
      </w:r>
      <w:r w:rsidR="0086401F">
        <w:rPr>
          <w:rFonts w:ascii="Times New Roman" w:eastAsia="Times New Roman" w:hAnsi="Times New Roman" w:cs="Times New Roman"/>
          <w:sz w:val="28"/>
          <w:szCs w:val="28"/>
          <w:lang w:eastAsia="ar-SA"/>
        </w:rPr>
        <w:t>ены копии актов сверки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подтверждающие обоснование объемов дебиторской задолженности. </w:t>
      </w:r>
    </w:p>
    <w:p w:rsidR="00F437D3" w:rsidRDefault="00A65D67" w:rsidP="0015415D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расчетам с бюджетом </w:t>
      </w:r>
      <w:r w:rsidR="00501D1F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обязатель</w:t>
      </w:r>
      <w:r w:rsidR="003C15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ным страховым взносам в </w:t>
      </w:r>
      <w:r w:rsidR="00501D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социального страхования </w:t>
      </w:r>
      <w:r w:rsidR="003C15A2"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 налогу на имущество по состоянию на 31.12.2014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сложилась задолженность  в сумме </w:t>
      </w:r>
      <w:r w:rsidR="0015415D">
        <w:rPr>
          <w:rFonts w:ascii="Times New Roman" w:eastAsia="Times New Roman" w:hAnsi="Times New Roman" w:cs="Times New Roman"/>
          <w:sz w:val="28"/>
          <w:szCs w:val="28"/>
          <w:lang w:eastAsia="ar-SA"/>
        </w:rPr>
        <w:t>-14930,45</w:t>
      </w:r>
      <w:r w:rsidR="00501D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</w:t>
      </w:r>
      <w:r w:rsidR="0015415D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том числе:</w:t>
      </w:r>
    </w:p>
    <w:p w:rsidR="0015415D" w:rsidRPr="0015415D" w:rsidRDefault="0015415D" w:rsidP="0015415D">
      <w:pPr>
        <w:numPr>
          <w:ilvl w:val="0"/>
          <w:numId w:val="22"/>
        </w:numPr>
        <w:spacing w:after="0" w:line="240" w:lineRule="auto"/>
        <w:ind w:left="-426" w:firstLine="1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- 14500,45 – переплата по УФК по Кр. кр. ГУ-Красн. регион. отдел. ФСС (страховые взносы на обязательное социальное страхование на случай временной нетрудоспособности и в связи с материнством за декабрь </w:t>
      </w:r>
      <w:smartTag w:uri="urn:schemas-microsoft-com:office:smarttags" w:element="metricconverter">
        <w:smartTagPr>
          <w:attr w:name="ProductID" w:val="2014 г"/>
        </w:smartTagPr>
        <w:r w:rsidRPr="001541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2014 г</w:t>
        </w:r>
      </w:smartTag>
      <w:r w:rsidRPr="0015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</w:t>
      </w:r>
    </w:p>
    <w:p w:rsidR="0015415D" w:rsidRPr="0015415D" w:rsidRDefault="0015415D" w:rsidP="0015415D">
      <w:pPr>
        <w:numPr>
          <w:ilvl w:val="0"/>
          <w:numId w:val="22"/>
        </w:numPr>
        <w:spacing w:after="0" w:line="240" w:lineRule="auto"/>
        <w:ind w:left="-426" w:firstLine="1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D">
        <w:rPr>
          <w:rFonts w:ascii="Times New Roman" w:eastAsia="Times New Roman" w:hAnsi="Times New Roman" w:cs="Times New Roman"/>
          <w:sz w:val="28"/>
          <w:szCs w:val="28"/>
          <w:lang w:eastAsia="ru-RU"/>
        </w:rPr>
        <w:t>- 430,00 – переплата по налогу на имущество.</w:t>
      </w:r>
    </w:p>
    <w:p w:rsidR="00F437D3" w:rsidRDefault="00F437D3" w:rsidP="00A65D6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A65D67" w:rsidRDefault="00A65D67" w:rsidP="00A65D6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B2B2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Исполнение местного бюджета по казначейской системе осуществлялось с использованием лицевых счетов бюджетных средств, открытых ФУ администрации муниципального образования Тбилисский район. </w:t>
      </w:r>
    </w:p>
    <w:p w:rsidR="00A65D67" w:rsidRDefault="00A65D67" w:rsidP="00A65D6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Бюджетные назначения </w:t>
      </w:r>
      <w:r w:rsidR="00501D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образовательных учреждений </w:t>
      </w:r>
      <w:r w:rsidR="0015415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2014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 утверждены в сумме </w:t>
      </w:r>
      <w:r w:rsidR="0015415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517222143,00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рублей. Кассовый расход составил за 201</w:t>
      </w:r>
      <w:r w:rsidR="0015415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 год в сумме 513004557,92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рублей. Исп</w:t>
      </w:r>
      <w:r w:rsidR="0015415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олнение бюджета в 2014 году – 99,18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%.</w:t>
      </w:r>
    </w:p>
    <w:p w:rsidR="00872B52" w:rsidRDefault="00A65D67" w:rsidP="00A65D6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Поступления </w:t>
      </w:r>
      <w:r w:rsidRPr="00A24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переданным отдельным государственным полномочиям</w:t>
      </w:r>
      <w:r w:rsidR="00EE25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2014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году составили</w:t>
      </w:r>
      <w:r w:rsidR="00872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872B52" w:rsidRDefault="00872B52" w:rsidP="00A65D6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872B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24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 счет субвенций краевого </w:t>
      </w:r>
      <w:r w:rsidR="00855D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бюджета 386626</w:t>
      </w:r>
      <w:r w:rsidR="002D51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871,00 рубль;</w:t>
      </w:r>
    </w:p>
    <w:p w:rsidR="00872B52" w:rsidRDefault="00872B52" w:rsidP="00A65D6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федерального </w:t>
      </w:r>
      <w:r w:rsidRPr="00A24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бюджет</w:t>
      </w:r>
      <w:r w:rsidR="002D51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A65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EE25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1340000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,0</w:t>
      </w:r>
      <w:r w:rsidR="00A65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501D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65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рублей. </w:t>
      </w:r>
    </w:p>
    <w:p w:rsidR="00A65D67" w:rsidRDefault="00A65D67" w:rsidP="00A65D6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Суммы поступивших</w:t>
      </w:r>
      <w:r w:rsidR="00EE25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межбюджетных трансфертов в 2014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году отражены в формах №0503324 и №0503324К. </w:t>
      </w:r>
    </w:p>
    <w:p w:rsidR="00A65D67" w:rsidRPr="00D66314" w:rsidRDefault="00A65D67" w:rsidP="00A65D67">
      <w:pPr>
        <w:suppressAutoHyphens/>
        <w:spacing w:before="240" w:after="0" w:line="240" w:lineRule="auto"/>
        <w:ind w:left="-30" w:firstLine="780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  <w:r w:rsidRPr="007B2B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Взаимоотношения по предоставлению и использованию субвенций, субсидий от бюджетов других уровней регулируются заключенными Соглашениями.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</w:t>
      </w:r>
      <w:r w:rsidRPr="007B2B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еиспользованные остатки субвенций, субсидий от бюджетов других уровней </w:t>
      </w:r>
      <w:r w:rsidRPr="007B2B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возвращены в установленном порядке администраторам доходов краевого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 </w:t>
      </w:r>
      <w:r w:rsidR="00855D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744661,09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</w:t>
      </w:r>
      <w:r w:rsidR="00855D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A65D67" w:rsidRDefault="00A65D67" w:rsidP="00A65D67">
      <w:pPr>
        <w:suppressAutoHyphens/>
        <w:spacing w:after="0" w:line="240" w:lineRule="auto"/>
        <w:ind w:right="-471"/>
        <w:outlineLvl w:val="0"/>
        <w:rPr>
          <w:rFonts w:ascii="Times New Roman" w:hAnsi="Times New Roman" w:cs="Times New Roman"/>
          <w:sz w:val="28"/>
          <w:szCs w:val="28"/>
        </w:rPr>
      </w:pPr>
      <w:r w:rsidRPr="00383B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45D65">
        <w:rPr>
          <w:rFonts w:ascii="Times New Roman" w:hAnsi="Times New Roman" w:cs="Times New Roman"/>
          <w:b/>
          <w:sz w:val="28"/>
          <w:szCs w:val="28"/>
        </w:rPr>
        <w:t>Анализ пояснительной записки:</w:t>
      </w:r>
      <w:r w:rsidRPr="00945D65">
        <w:rPr>
          <w:rFonts w:ascii="Times New Roman" w:hAnsi="Times New Roman" w:cs="Times New Roman"/>
          <w:sz w:val="28"/>
          <w:szCs w:val="28"/>
        </w:rPr>
        <w:t xml:space="preserve">   Форма по ОКУД 0503160 </w:t>
      </w:r>
    </w:p>
    <w:p w:rsidR="00A65D67" w:rsidRPr="00A71BB3" w:rsidRDefault="00A65D67" w:rsidP="00A65D6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71BB3">
        <w:rPr>
          <w:rFonts w:ascii="Times New Roman" w:hAnsi="Times New Roman" w:cs="Times New Roman"/>
          <w:sz w:val="28"/>
          <w:szCs w:val="28"/>
        </w:rPr>
        <w:t xml:space="preserve">Пояснительная записка в отчете МКУ </w:t>
      </w:r>
      <w:r w:rsidR="00D34A6D" w:rsidRPr="00A71BB3">
        <w:rPr>
          <w:rFonts w:ascii="Times New Roman" w:hAnsi="Times New Roman" w:cs="Times New Roman"/>
          <w:sz w:val="28"/>
          <w:szCs w:val="28"/>
        </w:rPr>
        <w:t>«Централизованная бухгалтерия ОУ</w:t>
      </w:r>
      <w:r w:rsidRPr="00A71BB3">
        <w:rPr>
          <w:rFonts w:ascii="Times New Roman" w:hAnsi="Times New Roman" w:cs="Times New Roman"/>
          <w:sz w:val="28"/>
          <w:szCs w:val="28"/>
        </w:rPr>
        <w:t xml:space="preserve"> Тбилисский район» составлена в соответствии с требованиями  инструкции № 191н, за исключением следующих замечаний:</w:t>
      </w:r>
    </w:p>
    <w:p w:rsidR="005605DB" w:rsidRDefault="005605DB" w:rsidP="00A65D6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5605DB" w:rsidRDefault="005605DB" w:rsidP="005605DB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75024">
        <w:rPr>
          <w:rFonts w:ascii="Times New Roman" w:hAnsi="Times New Roman" w:cs="Times New Roman"/>
          <w:sz w:val="28"/>
          <w:szCs w:val="28"/>
        </w:rPr>
        <w:t>В нарушение п.162</w:t>
      </w:r>
      <w:r w:rsidR="00A71BB3">
        <w:rPr>
          <w:rFonts w:ascii="Times New Roman" w:hAnsi="Times New Roman" w:cs="Times New Roman"/>
          <w:sz w:val="28"/>
          <w:szCs w:val="28"/>
        </w:rPr>
        <w:t xml:space="preserve"> </w:t>
      </w:r>
      <w:r w:rsidRPr="00575024">
        <w:rPr>
          <w:rFonts w:ascii="Times New Roman" w:hAnsi="Times New Roman" w:cs="Times New Roman"/>
          <w:sz w:val="28"/>
          <w:szCs w:val="28"/>
        </w:rPr>
        <w:t>Инструкции 191Н:</w:t>
      </w:r>
    </w:p>
    <w:p w:rsidR="005605DB" w:rsidRDefault="005605DB" w:rsidP="005605DB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представлена форма 0503163 «Сведения об изменении бюджетной росписи», фактически изменения в бюджетную роспись по данному главному администратору в течение года были внесены, сметные назначения уменьшились на </w:t>
      </w:r>
      <w:r w:rsidRPr="00CB7084">
        <w:rPr>
          <w:rFonts w:ascii="Times New Roman" w:hAnsi="Times New Roman" w:cs="Times New Roman"/>
          <w:sz w:val="28"/>
          <w:szCs w:val="28"/>
        </w:rPr>
        <w:t>3963,946 рублей (49982,000 тыс. руб. – 46018,054 тыс. руб.);</w:t>
      </w:r>
    </w:p>
    <w:p w:rsidR="005605DB" w:rsidRDefault="005605DB" w:rsidP="00A71BB3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п.152, 154</w:t>
      </w:r>
      <w:r w:rsidR="0076229D">
        <w:rPr>
          <w:rFonts w:ascii="Times New Roman" w:hAnsi="Times New Roman" w:cs="Times New Roman"/>
          <w:sz w:val="28"/>
          <w:szCs w:val="28"/>
        </w:rPr>
        <w:t>, 157</w:t>
      </w:r>
      <w:r w:rsidR="00D91C54">
        <w:rPr>
          <w:rFonts w:ascii="Times New Roman" w:hAnsi="Times New Roman" w:cs="Times New Roman"/>
          <w:sz w:val="28"/>
          <w:szCs w:val="28"/>
        </w:rPr>
        <w:t>,159</w:t>
      </w:r>
      <w:r>
        <w:rPr>
          <w:rFonts w:ascii="Times New Roman" w:hAnsi="Times New Roman" w:cs="Times New Roman"/>
          <w:sz w:val="28"/>
          <w:szCs w:val="28"/>
        </w:rPr>
        <w:t xml:space="preserve"> Инструкции 191Н:</w:t>
      </w:r>
    </w:p>
    <w:p w:rsidR="005605DB" w:rsidRDefault="005605DB" w:rsidP="005605DB">
      <w:pPr>
        <w:pStyle w:val="aff3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4A40">
        <w:rPr>
          <w:rFonts w:ascii="Times New Roman" w:hAnsi="Times New Roman" w:cs="Times New Roman"/>
          <w:kern w:val="1"/>
          <w:sz w:val="28"/>
          <w:szCs w:val="28"/>
        </w:rPr>
        <w:t>- перечень форм отчетности, не включенных в состав бюджетной отчетности в виду отсутствия числовых показателей</w:t>
      </w:r>
      <w:r>
        <w:rPr>
          <w:rFonts w:ascii="Times New Roman" w:hAnsi="Times New Roman" w:cs="Times New Roman"/>
          <w:kern w:val="1"/>
          <w:sz w:val="28"/>
          <w:szCs w:val="28"/>
        </w:rPr>
        <w:t>, не сформирован в пятом разделе пояснительной записки;</w:t>
      </w:r>
      <w:r w:rsidRPr="008C4A40">
        <w:rPr>
          <w:rFonts w:ascii="Times New Roman" w:hAnsi="Times New Roman" w:cs="Times New Roman"/>
          <w:kern w:val="1"/>
          <w:sz w:val="28"/>
          <w:szCs w:val="28"/>
        </w:rPr>
        <w:t xml:space="preserve">   </w:t>
      </w:r>
    </w:p>
    <w:p w:rsidR="005605DB" w:rsidRDefault="005605DB" w:rsidP="005605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2 «Сведения о мерах по повышению эффективности расходования бюджетных средств» представлена с незаполненными графами 2-4, в графе 5 не отражены показатели, характеризующие степень результативности применения мер по повышению эффективности расходования бюджетных средств;</w:t>
      </w:r>
    </w:p>
    <w:p w:rsidR="005605DB" w:rsidRDefault="005605DB" w:rsidP="005605DB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5 «Сведения о результатах мероприятий внутреннего контроля» представлена с незаполненными графами;</w:t>
      </w:r>
    </w:p>
    <w:p w:rsidR="003647AD" w:rsidRDefault="00D91C54" w:rsidP="003647A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47AD">
        <w:rPr>
          <w:rFonts w:ascii="Times New Roman" w:hAnsi="Times New Roman" w:cs="Times New Roman"/>
          <w:sz w:val="28"/>
          <w:szCs w:val="28"/>
        </w:rPr>
        <w:t xml:space="preserve"> в таблице</w:t>
      </w:r>
      <w:r>
        <w:rPr>
          <w:rFonts w:ascii="Times New Roman" w:hAnsi="Times New Roman" w:cs="Times New Roman"/>
          <w:sz w:val="28"/>
          <w:szCs w:val="28"/>
        </w:rPr>
        <w:t xml:space="preserve"> № 7 «Сведения о результатах внешних контрольных мероприятий» </w:t>
      </w:r>
      <w:r w:rsidR="003647AD">
        <w:rPr>
          <w:rFonts w:ascii="Times New Roman" w:hAnsi="Times New Roman" w:cs="Times New Roman"/>
          <w:sz w:val="28"/>
          <w:szCs w:val="28"/>
        </w:rPr>
        <w:t>не отражены результаты контрольного мероприятия «Проверка годовой бюджетной отчетности Управления образованием  администрации муниципального образования Тбилисский район за 2013 год».</w:t>
      </w:r>
    </w:p>
    <w:p w:rsidR="00D91C54" w:rsidRDefault="00D91C54" w:rsidP="00D91C5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91C54" w:rsidRDefault="00D91C54" w:rsidP="005605DB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F334A" w:rsidRDefault="00EF334A" w:rsidP="00EF334A">
      <w:pPr>
        <w:tabs>
          <w:tab w:val="left" w:pos="8085"/>
        </w:tabs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основании выше изложенного, контрольно-счетная палата считает, что</w:t>
      </w:r>
      <w:r w:rsidRPr="00440392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ab/>
      </w:r>
    </w:p>
    <w:p w:rsidR="00EF334A" w:rsidRPr="00E87F4D" w:rsidRDefault="00EF334A" w:rsidP="00EF334A">
      <w:pPr>
        <w:tabs>
          <w:tab w:val="left" w:pos="8085"/>
        </w:tabs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87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ояснительная записка, представленная к проверке в составе бюджетной отчетности, сформирована не в полном объеме с замечаниями.</w:t>
      </w:r>
    </w:p>
    <w:p w:rsidR="00EF334A" w:rsidRPr="00EF334A" w:rsidRDefault="00EF334A" w:rsidP="00EF334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EF334A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В ходе проверки выявлены расхождения показателей аналитических счетов финансового результата по главной книге и форме № 0503130 «Баланс», в частности в балансе не отражены показатели будущих периодов, отраженных по главной книге на 01.01.2014 г. </w:t>
      </w:r>
    </w:p>
    <w:p w:rsidR="00EF334A" w:rsidRPr="00EF334A" w:rsidRDefault="00EF334A" w:rsidP="00EF33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7F4D">
        <w:rPr>
          <w:rFonts w:ascii="Times New Roman" w:eastAsia="Times New Roman" w:hAnsi="Times New Roman" w:cs="Times New Roman"/>
          <w:kern w:val="1"/>
          <w:sz w:val="28"/>
          <w:szCs w:val="24"/>
        </w:rPr>
        <w:t>Замечания и предложения контрольно-счётной палаты по устранению нарушений, указанные в предыдущем акте проверки годовой отчетности за 2013 год,  учтены при составлении годовой отчетности за 2014</w:t>
      </w:r>
      <w:r w:rsidR="00C65FB7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год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не в полном объеме. </w:t>
      </w:r>
    </w:p>
    <w:p w:rsidR="00EF334A" w:rsidRDefault="00EF334A" w:rsidP="00EF334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4"/>
        </w:rPr>
        <w:tab/>
      </w:r>
    </w:p>
    <w:p w:rsidR="00B363B8" w:rsidRPr="008205DF" w:rsidRDefault="00D209D9" w:rsidP="0009320B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B363B8" w:rsidRPr="008205DF" w:rsidSect="00307989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F7" w:rsidRDefault="00B27BF7" w:rsidP="0005475E">
      <w:pPr>
        <w:spacing w:after="0" w:line="240" w:lineRule="auto"/>
      </w:pPr>
      <w:r>
        <w:separator/>
      </w:r>
    </w:p>
  </w:endnote>
  <w:endnote w:type="continuationSeparator" w:id="0">
    <w:p w:rsidR="00B27BF7" w:rsidRDefault="00B27BF7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F7" w:rsidRDefault="00B27BF7" w:rsidP="0005475E">
      <w:pPr>
        <w:spacing w:after="0" w:line="240" w:lineRule="auto"/>
      </w:pPr>
      <w:r>
        <w:separator/>
      </w:r>
    </w:p>
  </w:footnote>
  <w:footnote w:type="continuationSeparator" w:id="0">
    <w:p w:rsidR="00B27BF7" w:rsidRDefault="00B27BF7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367485"/>
      <w:docPartObj>
        <w:docPartGallery w:val="Page Numbers (Top of Page)"/>
        <w:docPartUnique/>
      </w:docPartObj>
    </w:sdtPr>
    <w:sdtEndPr/>
    <w:sdtContent>
      <w:p w:rsidR="00EE25EE" w:rsidRDefault="00EE25EE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9D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E25EE" w:rsidRDefault="00EE25EE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1BAF"/>
    <w:rsid w:val="00003284"/>
    <w:rsid w:val="00003E9F"/>
    <w:rsid w:val="00005E70"/>
    <w:rsid w:val="00006244"/>
    <w:rsid w:val="00011790"/>
    <w:rsid w:val="00020732"/>
    <w:rsid w:val="00022220"/>
    <w:rsid w:val="0002530F"/>
    <w:rsid w:val="00026CD9"/>
    <w:rsid w:val="00026E3F"/>
    <w:rsid w:val="0003087B"/>
    <w:rsid w:val="00031053"/>
    <w:rsid w:val="0003245E"/>
    <w:rsid w:val="00041131"/>
    <w:rsid w:val="00047082"/>
    <w:rsid w:val="0005475E"/>
    <w:rsid w:val="000559D1"/>
    <w:rsid w:val="00060DF2"/>
    <w:rsid w:val="00062C5A"/>
    <w:rsid w:val="00072B43"/>
    <w:rsid w:val="00073F56"/>
    <w:rsid w:val="000774A6"/>
    <w:rsid w:val="00077A34"/>
    <w:rsid w:val="000801BC"/>
    <w:rsid w:val="000815D0"/>
    <w:rsid w:val="00083387"/>
    <w:rsid w:val="00085E97"/>
    <w:rsid w:val="0008636C"/>
    <w:rsid w:val="0008761E"/>
    <w:rsid w:val="00087C4F"/>
    <w:rsid w:val="00093143"/>
    <w:rsid w:val="0009320B"/>
    <w:rsid w:val="000C0512"/>
    <w:rsid w:val="000C6605"/>
    <w:rsid w:val="000C7927"/>
    <w:rsid w:val="000D2081"/>
    <w:rsid w:val="000D2ED4"/>
    <w:rsid w:val="000D4428"/>
    <w:rsid w:val="000D5DE7"/>
    <w:rsid w:val="000D655B"/>
    <w:rsid w:val="000E021F"/>
    <w:rsid w:val="000E36F0"/>
    <w:rsid w:val="000E7178"/>
    <w:rsid w:val="000F351D"/>
    <w:rsid w:val="000F43E9"/>
    <w:rsid w:val="000F4EFC"/>
    <w:rsid w:val="00104A5B"/>
    <w:rsid w:val="0011238D"/>
    <w:rsid w:val="0011655C"/>
    <w:rsid w:val="00116736"/>
    <w:rsid w:val="00122086"/>
    <w:rsid w:val="001358EF"/>
    <w:rsid w:val="00141309"/>
    <w:rsid w:val="00143A9F"/>
    <w:rsid w:val="00150BD8"/>
    <w:rsid w:val="0015415D"/>
    <w:rsid w:val="00161DE8"/>
    <w:rsid w:val="001670B9"/>
    <w:rsid w:val="0016797A"/>
    <w:rsid w:val="001720BC"/>
    <w:rsid w:val="00176D38"/>
    <w:rsid w:val="00182427"/>
    <w:rsid w:val="00183B13"/>
    <w:rsid w:val="0018478F"/>
    <w:rsid w:val="0019335A"/>
    <w:rsid w:val="001A09FE"/>
    <w:rsid w:val="001A4FF9"/>
    <w:rsid w:val="001B0723"/>
    <w:rsid w:val="001B5E8E"/>
    <w:rsid w:val="001C2F71"/>
    <w:rsid w:val="001C4F90"/>
    <w:rsid w:val="001C6B57"/>
    <w:rsid w:val="001D16B0"/>
    <w:rsid w:val="001D3E6D"/>
    <w:rsid w:val="001D58A3"/>
    <w:rsid w:val="001D69FC"/>
    <w:rsid w:val="001F2A57"/>
    <w:rsid w:val="001F3C6B"/>
    <w:rsid w:val="002045B9"/>
    <w:rsid w:val="00213EA3"/>
    <w:rsid w:val="0021555C"/>
    <w:rsid w:val="0021659D"/>
    <w:rsid w:val="00223F22"/>
    <w:rsid w:val="00226D25"/>
    <w:rsid w:val="002278E6"/>
    <w:rsid w:val="00230AAB"/>
    <w:rsid w:val="00236B7D"/>
    <w:rsid w:val="00236F3F"/>
    <w:rsid w:val="0023738B"/>
    <w:rsid w:val="0023738C"/>
    <w:rsid w:val="00241DBD"/>
    <w:rsid w:val="002448E8"/>
    <w:rsid w:val="00245B7C"/>
    <w:rsid w:val="002515D5"/>
    <w:rsid w:val="00253C8D"/>
    <w:rsid w:val="00254041"/>
    <w:rsid w:val="00260044"/>
    <w:rsid w:val="00261CFE"/>
    <w:rsid w:val="00264B82"/>
    <w:rsid w:val="00264C70"/>
    <w:rsid w:val="0026763C"/>
    <w:rsid w:val="002677F4"/>
    <w:rsid w:val="0027119B"/>
    <w:rsid w:val="00272EE0"/>
    <w:rsid w:val="00276D6A"/>
    <w:rsid w:val="0028310C"/>
    <w:rsid w:val="00286D7E"/>
    <w:rsid w:val="002872EE"/>
    <w:rsid w:val="00293E5C"/>
    <w:rsid w:val="0029782C"/>
    <w:rsid w:val="002A0DD2"/>
    <w:rsid w:val="002A17EA"/>
    <w:rsid w:val="002B3D8B"/>
    <w:rsid w:val="002C0417"/>
    <w:rsid w:val="002C1F4E"/>
    <w:rsid w:val="002D0049"/>
    <w:rsid w:val="002D1451"/>
    <w:rsid w:val="002D1CEB"/>
    <w:rsid w:val="002D309F"/>
    <w:rsid w:val="002D3FF4"/>
    <w:rsid w:val="002D51E0"/>
    <w:rsid w:val="002D7B12"/>
    <w:rsid w:val="002E1B22"/>
    <w:rsid w:val="002E3059"/>
    <w:rsid w:val="002E33F5"/>
    <w:rsid w:val="002E72BA"/>
    <w:rsid w:val="002F43EC"/>
    <w:rsid w:val="002F4D68"/>
    <w:rsid w:val="002F4F6D"/>
    <w:rsid w:val="002F5BC2"/>
    <w:rsid w:val="002F7926"/>
    <w:rsid w:val="002F7AFC"/>
    <w:rsid w:val="0030053F"/>
    <w:rsid w:val="00301621"/>
    <w:rsid w:val="00307989"/>
    <w:rsid w:val="00310BFB"/>
    <w:rsid w:val="00320562"/>
    <w:rsid w:val="0032164E"/>
    <w:rsid w:val="0032272E"/>
    <w:rsid w:val="0032704F"/>
    <w:rsid w:val="00332BA7"/>
    <w:rsid w:val="003344F7"/>
    <w:rsid w:val="00334B8D"/>
    <w:rsid w:val="00334BDB"/>
    <w:rsid w:val="003370C9"/>
    <w:rsid w:val="00340A65"/>
    <w:rsid w:val="00343428"/>
    <w:rsid w:val="003515F4"/>
    <w:rsid w:val="00352AF2"/>
    <w:rsid w:val="003556DA"/>
    <w:rsid w:val="0036345D"/>
    <w:rsid w:val="003647AD"/>
    <w:rsid w:val="003663ED"/>
    <w:rsid w:val="003664CF"/>
    <w:rsid w:val="00366F0D"/>
    <w:rsid w:val="003719C6"/>
    <w:rsid w:val="00382E93"/>
    <w:rsid w:val="00383B54"/>
    <w:rsid w:val="00387125"/>
    <w:rsid w:val="00390164"/>
    <w:rsid w:val="00392B9B"/>
    <w:rsid w:val="00392BBF"/>
    <w:rsid w:val="00396199"/>
    <w:rsid w:val="00396914"/>
    <w:rsid w:val="003973DE"/>
    <w:rsid w:val="003B50DC"/>
    <w:rsid w:val="003B72CB"/>
    <w:rsid w:val="003C11B8"/>
    <w:rsid w:val="003C15A2"/>
    <w:rsid w:val="003C4569"/>
    <w:rsid w:val="003C621C"/>
    <w:rsid w:val="003C7536"/>
    <w:rsid w:val="003D26C2"/>
    <w:rsid w:val="003D2826"/>
    <w:rsid w:val="003D3D7D"/>
    <w:rsid w:val="003D62E0"/>
    <w:rsid w:val="003E0913"/>
    <w:rsid w:val="003F20F7"/>
    <w:rsid w:val="003F31B7"/>
    <w:rsid w:val="003F7C68"/>
    <w:rsid w:val="00402D51"/>
    <w:rsid w:val="00405230"/>
    <w:rsid w:val="00411707"/>
    <w:rsid w:val="00414D31"/>
    <w:rsid w:val="00416BE5"/>
    <w:rsid w:val="00417805"/>
    <w:rsid w:val="0042106B"/>
    <w:rsid w:val="00423B39"/>
    <w:rsid w:val="0042481A"/>
    <w:rsid w:val="00430C8F"/>
    <w:rsid w:val="00437B03"/>
    <w:rsid w:val="00440392"/>
    <w:rsid w:val="004406DD"/>
    <w:rsid w:val="0044131B"/>
    <w:rsid w:val="00443C01"/>
    <w:rsid w:val="00444F42"/>
    <w:rsid w:val="00445EE6"/>
    <w:rsid w:val="00451B4A"/>
    <w:rsid w:val="0045479C"/>
    <w:rsid w:val="004559E2"/>
    <w:rsid w:val="004574CF"/>
    <w:rsid w:val="00460937"/>
    <w:rsid w:val="00462289"/>
    <w:rsid w:val="004640A0"/>
    <w:rsid w:val="00464173"/>
    <w:rsid w:val="00473710"/>
    <w:rsid w:val="00474E56"/>
    <w:rsid w:val="0047680B"/>
    <w:rsid w:val="004769BB"/>
    <w:rsid w:val="004839C0"/>
    <w:rsid w:val="00483E16"/>
    <w:rsid w:val="00484324"/>
    <w:rsid w:val="00485B79"/>
    <w:rsid w:val="004865D1"/>
    <w:rsid w:val="004904B9"/>
    <w:rsid w:val="004954A6"/>
    <w:rsid w:val="004A569B"/>
    <w:rsid w:val="004B6045"/>
    <w:rsid w:val="004C423C"/>
    <w:rsid w:val="004C6A73"/>
    <w:rsid w:val="004C7805"/>
    <w:rsid w:val="004D43F7"/>
    <w:rsid w:val="004D60C5"/>
    <w:rsid w:val="004E0B18"/>
    <w:rsid w:val="004E55F5"/>
    <w:rsid w:val="004E79A5"/>
    <w:rsid w:val="004E7F40"/>
    <w:rsid w:val="004F0F4A"/>
    <w:rsid w:val="004F1EFE"/>
    <w:rsid w:val="004F58BA"/>
    <w:rsid w:val="00501BEA"/>
    <w:rsid w:val="00501D1F"/>
    <w:rsid w:val="00504F41"/>
    <w:rsid w:val="00510513"/>
    <w:rsid w:val="00510DB9"/>
    <w:rsid w:val="00512B6A"/>
    <w:rsid w:val="00512BCE"/>
    <w:rsid w:val="005134C2"/>
    <w:rsid w:val="005212E5"/>
    <w:rsid w:val="0052417E"/>
    <w:rsid w:val="0052788D"/>
    <w:rsid w:val="00527995"/>
    <w:rsid w:val="0053162D"/>
    <w:rsid w:val="00541DEB"/>
    <w:rsid w:val="0054226C"/>
    <w:rsid w:val="005438C2"/>
    <w:rsid w:val="005526C7"/>
    <w:rsid w:val="0055599A"/>
    <w:rsid w:val="00555D77"/>
    <w:rsid w:val="00560165"/>
    <w:rsid w:val="005605DB"/>
    <w:rsid w:val="0056075E"/>
    <w:rsid w:val="00570664"/>
    <w:rsid w:val="00572FB4"/>
    <w:rsid w:val="00575024"/>
    <w:rsid w:val="00575B38"/>
    <w:rsid w:val="00575C85"/>
    <w:rsid w:val="0059576C"/>
    <w:rsid w:val="005A4012"/>
    <w:rsid w:val="005B0A7D"/>
    <w:rsid w:val="005C0E66"/>
    <w:rsid w:val="005C5304"/>
    <w:rsid w:val="005D150C"/>
    <w:rsid w:val="005D3691"/>
    <w:rsid w:val="005D42AE"/>
    <w:rsid w:val="005D5A8F"/>
    <w:rsid w:val="005E04FD"/>
    <w:rsid w:val="005F0396"/>
    <w:rsid w:val="005F5494"/>
    <w:rsid w:val="005F5A50"/>
    <w:rsid w:val="006023FB"/>
    <w:rsid w:val="00606AAC"/>
    <w:rsid w:val="00613547"/>
    <w:rsid w:val="00614F87"/>
    <w:rsid w:val="006161D8"/>
    <w:rsid w:val="00617FCA"/>
    <w:rsid w:val="00626C1E"/>
    <w:rsid w:val="00634C66"/>
    <w:rsid w:val="0063525F"/>
    <w:rsid w:val="00637876"/>
    <w:rsid w:val="00647B2F"/>
    <w:rsid w:val="00650D89"/>
    <w:rsid w:val="006517C9"/>
    <w:rsid w:val="006529DD"/>
    <w:rsid w:val="00652FC5"/>
    <w:rsid w:val="006609AA"/>
    <w:rsid w:val="00665FB9"/>
    <w:rsid w:val="00671278"/>
    <w:rsid w:val="00677B80"/>
    <w:rsid w:val="00684AA2"/>
    <w:rsid w:val="00686AE6"/>
    <w:rsid w:val="0069026B"/>
    <w:rsid w:val="0069297B"/>
    <w:rsid w:val="006A28C2"/>
    <w:rsid w:val="006A7A40"/>
    <w:rsid w:val="006B2F4E"/>
    <w:rsid w:val="006B731F"/>
    <w:rsid w:val="006C1358"/>
    <w:rsid w:val="006C1558"/>
    <w:rsid w:val="006D4F2B"/>
    <w:rsid w:val="006D6B0D"/>
    <w:rsid w:val="006D6E76"/>
    <w:rsid w:val="006E07A9"/>
    <w:rsid w:val="006E252E"/>
    <w:rsid w:val="006E2C06"/>
    <w:rsid w:val="006E3F43"/>
    <w:rsid w:val="006E4F8E"/>
    <w:rsid w:val="006E557E"/>
    <w:rsid w:val="006E69F3"/>
    <w:rsid w:val="006F6053"/>
    <w:rsid w:val="006F7DAA"/>
    <w:rsid w:val="007003DE"/>
    <w:rsid w:val="0070621D"/>
    <w:rsid w:val="00707122"/>
    <w:rsid w:val="00707C17"/>
    <w:rsid w:val="00711D15"/>
    <w:rsid w:val="0071266C"/>
    <w:rsid w:val="00714421"/>
    <w:rsid w:val="0071484F"/>
    <w:rsid w:val="00715DED"/>
    <w:rsid w:val="00717828"/>
    <w:rsid w:val="00720E1A"/>
    <w:rsid w:val="007213A6"/>
    <w:rsid w:val="00723ECA"/>
    <w:rsid w:val="00724DE3"/>
    <w:rsid w:val="0072502F"/>
    <w:rsid w:val="007252D4"/>
    <w:rsid w:val="0072575E"/>
    <w:rsid w:val="00726486"/>
    <w:rsid w:val="00732535"/>
    <w:rsid w:val="00736C62"/>
    <w:rsid w:val="0074387F"/>
    <w:rsid w:val="00750BF4"/>
    <w:rsid w:val="0076060A"/>
    <w:rsid w:val="0076229D"/>
    <w:rsid w:val="00763CF8"/>
    <w:rsid w:val="00767BDC"/>
    <w:rsid w:val="007706E1"/>
    <w:rsid w:val="0077287D"/>
    <w:rsid w:val="00780193"/>
    <w:rsid w:val="00792E25"/>
    <w:rsid w:val="00793CCE"/>
    <w:rsid w:val="00795CE9"/>
    <w:rsid w:val="00796DDE"/>
    <w:rsid w:val="007A0CAE"/>
    <w:rsid w:val="007A1614"/>
    <w:rsid w:val="007A2A91"/>
    <w:rsid w:val="007A591F"/>
    <w:rsid w:val="007B0A5C"/>
    <w:rsid w:val="007B2B2F"/>
    <w:rsid w:val="007C3AB4"/>
    <w:rsid w:val="007D14F6"/>
    <w:rsid w:val="007D70C3"/>
    <w:rsid w:val="007E2F80"/>
    <w:rsid w:val="007F2B25"/>
    <w:rsid w:val="007F6193"/>
    <w:rsid w:val="00805526"/>
    <w:rsid w:val="0081148A"/>
    <w:rsid w:val="008123F8"/>
    <w:rsid w:val="00815A8B"/>
    <w:rsid w:val="0081611D"/>
    <w:rsid w:val="008161E2"/>
    <w:rsid w:val="00817184"/>
    <w:rsid w:val="008205DF"/>
    <w:rsid w:val="008216FA"/>
    <w:rsid w:val="00831A16"/>
    <w:rsid w:val="00834810"/>
    <w:rsid w:val="00840B9A"/>
    <w:rsid w:val="0084417B"/>
    <w:rsid w:val="00845B7D"/>
    <w:rsid w:val="00845DFC"/>
    <w:rsid w:val="0084738B"/>
    <w:rsid w:val="00855DBC"/>
    <w:rsid w:val="0086401F"/>
    <w:rsid w:val="00865E77"/>
    <w:rsid w:val="00865EA5"/>
    <w:rsid w:val="00872B52"/>
    <w:rsid w:val="008737BE"/>
    <w:rsid w:val="008752A1"/>
    <w:rsid w:val="008801E8"/>
    <w:rsid w:val="008810E7"/>
    <w:rsid w:val="00883420"/>
    <w:rsid w:val="00887042"/>
    <w:rsid w:val="00890237"/>
    <w:rsid w:val="008A188B"/>
    <w:rsid w:val="008A2C94"/>
    <w:rsid w:val="008A306E"/>
    <w:rsid w:val="008A4784"/>
    <w:rsid w:val="008A4E5C"/>
    <w:rsid w:val="008A71FF"/>
    <w:rsid w:val="008C02E7"/>
    <w:rsid w:val="008C3637"/>
    <w:rsid w:val="008C4A40"/>
    <w:rsid w:val="008C5202"/>
    <w:rsid w:val="008C5DC7"/>
    <w:rsid w:val="008C78A9"/>
    <w:rsid w:val="008D17A8"/>
    <w:rsid w:val="008F3E61"/>
    <w:rsid w:val="00901068"/>
    <w:rsid w:val="00905F5A"/>
    <w:rsid w:val="00916189"/>
    <w:rsid w:val="00916305"/>
    <w:rsid w:val="00917F06"/>
    <w:rsid w:val="0093618B"/>
    <w:rsid w:val="0093792D"/>
    <w:rsid w:val="00937E7C"/>
    <w:rsid w:val="00943A56"/>
    <w:rsid w:val="00945D65"/>
    <w:rsid w:val="00946770"/>
    <w:rsid w:val="009530DA"/>
    <w:rsid w:val="009550A9"/>
    <w:rsid w:val="009551DF"/>
    <w:rsid w:val="009630D7"/>
    <w:rsid w:val="0096414A"/>
    <w:rsid w:val="009647C4"/>
    <w:rsid w:val="0096666B"/>
    <w:rsid w:val="00972D9A"/>
    <w:rsid w:val="00973562"/>
    <w:rsid w:val="00976A14"/>
    <w:rsid w:val="009806FD"/>
    <w:rsid w:val="00980DED"/>
    <w:rsid w:val="0098277D"/>
    <w:rsid w:val="00982B92"/>
    <w:rsid w:val="0099379C"/>
    <w:rsid w:val="00995C84"/>
    <w:rsid w:val="00996F55"/>
    <w:rsid w:val="009A215E"/>
    <w:rsid w:val="009B0B4A"/>
    <w:rsid w:val="009B462F"/>
    <w:rsid w:val="009B572E"/>
    <w:rsid w:val="009C1315"/>
    <w:rsid w:val="009C677C"/>
    <w:rsid w:val="009D1469"/>
    <w:rsid w:val="009D6607"/>
    <w:rsid w:val="009E2F86"/>
    <w:rsid w:val="009E3377"/>
    <w:rsid w:val="009E5119"/>
    <w:rsid w:val="009E62F1"/>
    <w:rsid w:val="009F00D2"/>
    <w:rsid w:val="009F09D3"/>
    <w:rsid w:val="009F0DE1"/>
    <w:rsid w:val="00A011CD"/>
    <w:rsid w:val="00A02F85"/>
    <w:rsid w:val="00A0516A"/>
    <w:rsid w:val="00A06BAF"/>
    <w:rsid w:val="00A0742A"/>
    <w:rsid w:val="00A1041A"/>
    <w:rsid w:val="00A11430"/>
    <w:rsid w:val="00A14085"/>
    <w:rsid w:val="00A16D78"/>
    <w:rsid w:val="00A17396"/>
    <w:rsid w:val="00A25CA9"/>
    <w:rsid w:val="00A278F4"/>
    <w:rsid w:val="00A325F7"/>
    <w:rsid w:val="00A32F24"/>
    <w:rsid w:val="00A36488"/>
    <w:rsid w:val="00A40433"/>
    <w:rsid w:val="00A40CE7"/>
    <w:rsid w:val="00A42EBA"/>
    <w:rsid w:val="00A462F5"/>
    <w:rsid w:val="00A50202"/>
    <w:rsid w:val="00A520C3"/>
    <w:rsid w:val="00A53F91"/>
    <w:rsid w:val="00A549B7"/>
    <w:rsid w:val="00A55E8E"/>
    <w:rsid w:val="00A61C89"/>
    <w:rsid w:val="00A63284"/>
    <w:rsid w:val="00A64EDE"/>
    <w:rsid w:val="00A65D67"/>
    <w:rsid w:val="00A71BB3"/>
    <w:rsid w:val="00A84B14"/>
    <w:rsid w:val="00A86040"/>
    <w:rsid w:val="00A86713"/>
    <w:rsid w:val="00A95E84"/>
    <w:rsid w:val="00AA35A0"/>
    <w:rsid w:val="00AA40D4"/>
    <w:rsid w:val="00AA46DB"/>
    <w:rsid w:val="00AA5972"/>
    <w:rsid w:val="00AB2075"/>
    <w:rsid w:val="00AB286D"/>
    <w:rsid w:val="00AB36AC"/>
    <w:rsid w:val="00AB417D"/>
    <w:rsid w:val="00AB4564"/>
    <w:rsid w:val="00AB4612"/>
    <w:rsid w:val="00AB58C5"/>
    <w:rsid w:val="00AC3987"/>
    <w:rsid w:val="00AC3FD4"/>
    <w:rsid w:val="00AE1EAB"/>
    <w:rsid w:val="00AE46EF"/>
    <w:rsid w:val="00AE5322"/>
    <w:rsid w:val="00AE5A97"/>
    <w:rsid w:val="00AE6953"/>
    <w:rsid w:val="00AE6D7E"/>
    <w:rsid w:val="00AF1248"/>
    <w:rsid w:val="00AF350E"/>
    <w:rsid w:val="00AF3C48"/>
    <w:rsid w:val="00AF7F9E"/>
    <w:rsid w:val="00B0319A"/>
    <w:rsid w:val="00B05D81"/>
    <w:rsid w:val="00B0714E"/>
    <w:rsid w:val="00B14E0C"/>
    <w:rsid w:val="00B2241F"/>
    <w:rsid w:val="00B25F09"/>
    <w:rsid w:val="00B27BF7"/>
    <w:rsid w:val="00B32273"/>
    <w:rsid w:val="00B33840"/>
    <w:rsid w:val="00B35BDD"/>
    <w:rsid w:val="00B363B8"/>
    <w:rsid w:val="00B363E3"/>
    <w:rsid w:val="00B40196"/>
    <w:rsid w:val="00B47687"/>
    <w:rsid w:val="00B520FC"/>
    <w:rsid w:val="00B5601D"/>
    <w:rsid w:val="00B60075"/>
    <w:rsid w:val="00B62A18"/>
    <w:rsid w:val="00B6648F"/>
    <w:rsid w:val="00B702D6"/>
    <w:rsid w:val="00B77A37"/>
    <w:rsid w:val="00B80D3B"/>
    <w:rsid w:val="00B84E51"/>
    <w:rsid w:val="00B8564E"/>
    <w:rsid w:val="00B90AE2"/>
    <w:rsid w:val="00B94BFB"/>
    <w:rsid w:val="00B97F41"/>
    <w:rsid w:val="00BA3A77"/>
    <w:rsid w:val="00BA48E6"/>
    <w:rsid w:val="00BA680C"/>
    <w:rsid w:val="00BA6E38"/>
    <w:rsid w:val="00BB368F"/>
    <w:rsid w:val="00BB385D"/>
    <w:rsid w:val="00BB424D"/>
    <w:rsid w:val="00BC7D60"/>
    <w:rsid w:val="00BE3D0F"/>
    <w:rsid w:val="00BF47E3"/>
    <w:rsid w:val="00C038A3"/>
    <w:rsid w:val="00C06438"/>
    <w:rsid w:val="00C07B4E"/>
    <w:rsid w:val="00C13B60"/>
    <w:rsid w:val="00C13E12"/>
    <w:rsid w:val="00C31333"/>
    <w:rsid w:val="00C31375"/>
    <w:rsid w:val="00C32BB9"/>
    <w:rsid w:val="00C35761"/>
    <w:rsid w:val="00C4241A"/>
    <w:rsid w:val="00C44062"/>
    <w:rsid w:val="00C46E42"/>
    <w:rsid w:val="00C50E6F"/>
    <w:rsid w:val="00C53925"/>
    <w:rsid w:val="00C5396C"/>
    <w:rsid w:val="00C54C7A"/>
    <w:rsid w:val="00C631EC"/>
    <w:rsid w:val="00C6359B"/>
    <w:rsid w:val="00C64212"/>
    <w:rsid w:val="00C65FB7"/>
    <w:rsid w:val="00C721C3"/>
    <w:rsid w:val="00C73A4A"/>
    <w:rsid w:val="00C80C68"/>
    <w:rsid w:val="00C97247"/>
    <w:rsid w:val="00CA0560"/>
    <w:rsid w:val="00CA4F36"/>
    <w:rsid w:val="00CA50C0"/>
    <w:rsid w:val="00CA7407"/>
    <w:rsid w:val="00CB38C6"/>
    <w:rsid w:val="00CC0F37"/>
    <w:rsid w:val="00CD2FFF"/>
    <w:rsid w:val="00CD4E37"/>
    <w:rsid w:val="00CE2002"/>
    <w:rsid w:val="00CE2BAA"/>
    <w:rsid w:val="00CE33E6"/>
    <w:rsid w:val="00CE3566"/>
    <w:rsid w:val="00CE70BE"/>
    <w:rsid w:val="00CF3E2E"/>
    <w:rsid w:val="00CF54DC"/>
    <w:rsid w:val="00D0167A"/>
    <w:rsid w:val="00D018C7"/>
    <w:rsid w:val="00D02CB0"/>
    <w:rsid w:val="00D0557E"/>
    <w:rsid w:val="00D05609"/>
    <w:rsid w:val="00D07DB9"/>
    <w:rsid w:val="00D07DF1"/>
    <w:rsid w:val="00D10801"/>
    <w:rsid w:val="00D11AD3"/>
    <w:rsid w:val="00D126E6"/>
    <w:rsid w:val="00D13B73"/>
    <w:rsid w:val="00D13C8C"/>
    <w:rsid w:val="00D209D9"/>
    <w:rsid w:val="00D22DD3"/>
    <w:rsid w:val="00D23D30"/>
    <w:rsid w:val="00D24C7D"/>
    <w:rsid w:val="00D265A3"/>
    <w:rsid w:val="00D27501"/>
    <w:rsid w:val="00D2797B"/>
    <w:rsid w:val="00D31FF7"/>
    <w:rsid w:val="00D3412D"/>
    <w:rsid w:val="00D34A6D"/>
    <w:rsid w:val="00D40824"/>
    <w:rsid w:val="00D41C01"/>
    <w:rsid w:val="00D43C2B"/>
    <w:rsid w:val="00D50454"/>
    <w:rsid w:val="00D521F2"/>
    <w:rsid w:val="00D52E09"/>
    <w:rsid w:val="00D57298"/>
    <w:rsid w:val="00D84248"/>
    <w:rsid w:val="00D87876"/>
    <w:rsid w:val="00D91C54"/>
    <w:rsid w:val="00D92F5F"/>
    <w:rsid w:val="00D92FF6"/>
    <w:rsid w:val="00D95E0D"/>
    <w:rsid w:val="00DA5477"/>
    <w:rsid w:val="00DA584A"/>
    <w:rsid w:val="00DB2910"/>
    <w:rsid w:val="00DB4619"/>
    <w:rsid w:val="00DB46C6"/>
    <w:rsid w:val="00DB681B"/>
    <w:rsid w:val="00DB77F0"/>
    <w:rsid w:val="00DD0E8B"/>
    <w:rsid w:val="00DD11CD"/>
    <w:rsid w:val="00DE34DC"/>
    <w:rsid w:val="00DE52D0"/>
    <w:rsid w:val="00DE78D1"/>
    <w:rsid w:val="00DF5069"/>
    <w:rsid w:val="00E002FB"/>
    <w:rsid w:val="00E024F4"/>
    <w:rsid w:val="00E0791B"/>
    <w:rsid w:val="00E109E6"/>
    <w:rsid w:val="00E13305"/>
    <w:rsid w:val="00E134EA"/>
    <w:rsid w:val="00E16AE7"/>
    <w:rsid w:val="00E204DD"/>
    <w:rsid w:val="00E21C0B"/>
    <w:rsid w:val="00E33FB3"/>
    <w:rsid w:val="00E35F20"/>
    <w:rsid w:val="00E4061F"/>
    <w:rsid w:val="00E40D2B"/>
    <w:rsid w:val="00E473EC"/>
    <w:rsid w:val="00E52954"/>
    <w:rsid w:val="00E629AA"/>
    <w:rsid w:val="00E73B93"/>
    <w:rsid w:val="00E7531C"/>
    <w:rsid w:val="00E7779A"/>
    <w:rsid w:val="00E82909"/>
    <w:rsid w:val="00E929EF"/>
    <w:rsid w:val="00E95618"/>
    <w:rsid w:val="00EA163E"/>
    <w:rsid w:val="00EA3C81"/>
    <w:rsid w:val="00EB0362"/>
    <w:rsid w:val="00EB0708"/>
    <w:rsid w:val="00EB091D"/>
    <w:rsid w:val="00EB4C0B"/>
    <w:rsid w:val="00EC071A"/>
    <w:rsid w:val="00EC13AE"/>
    <w:rsid w:val="00EC3CF8"/>
    <w:rsid w:val="00EC5B52"/>
    <w:rsid w:val="00ED0A94"/>
    <w:rsid w:val="00ED5327"/>
    <w:rsid w:val="00EE0183"/>
    <w:rsid w:val="00EE0E32"/>
    <w:rsid w:val="00EE1BAF"/>
    <w:rsid w:val="00EE25EE"/>
    <w:rsid w:val="00EE6A1E"/>
    <w:rsid w:val="00EE7D03"/>
    <w:rsid w:val="00EE7D0B"/>
    <w:rsid w:val="00EF158E"/>
    <w:rsid w:val="00EF1692"/>
    <w:rsid w:val="00EF334A"/>
    <w:rsid w:val="00F02E73"/>
    <w:rsid w:val="00F0644E"/>
    <w:rsid w:val="00F07008"/>
    <w:rsid w:val="00F07039"/>
    <w:rsid w:val="00F14CB3"/>
    <w:rsid w:val="00F2308A"/>
    <w:rsid w:val="00F248D0"/>
    <w:rsid w:val="00F24B9F"/>
    <w:rsid w:val="00F27234"/>
    <w:rsid w:val="00F40694"/>
    <w:rsid w:val="00F40D74"/>
    <w:rsid w:val="00F437D3"/>
    <w:rsid w:val="00F45C21"/>
    <w:rsid w:val="00F679BE"/>
    <w:rsid w:val="00F773EC"/>
    <w:rsid w:val="00F80673"/>
    <w:rsid w:val="00F82183"/>
    <w:rsid w:val="00F8326F"/>
    <w:rsid w:val="00F836F0"/>
    <w:rsid w:val="00F868CA"/>
    <w:rsid w:val="00F90390"/>
    <w:rsid w:val="00F90B6F"/>
    <w:rsid w:val="00F93FEE"/>
    <w:rsid w:val="00F9416B"/>
    <w:rsid w:val="00F96A91"/>
    <w:rsid w:val="00FB25CD"/>
    <w:rsid w:val="00FB643D"/>
    <w:rsid w:val="00FC21ED"/>
    <w:rsid w:val="00FE21A9"/>
    <w:rsid w:val="00FE605B"/>
    <w:rsid w:val="00FF391E"/>
    <w:rsid w:val="00FF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041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100FB-A6C0-4D6E-9D63-3C1F26C2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2026</TotalTime>
  <Pages>1</Pages>
  <Words>1964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48</cp:revision>
  <cp:lastPrinted>2015-03-23T06:59:00Z</cp:lastPrinted>
  <dcterms:created xsi:type="dcterms:W3CDTF">2013-05-16T13:17:00Z</dcterms:created>
  <dcterms:modified xsi:type="dcterms:W3CDTF">2015-05-22T11:43:00Z</dcterms:modified>
</cp:coreProperties>
</file>